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E4B7" w14:textId="601AD0CB" w:rsidR="0019463B" w:rsidRPr="0026598F" w:rsidRDefault="0026598F" w:rsidP="009C71FE">
      <w:pPr>
        <w:pStyle w:val="DeptBullets"/>
        <w:numPr>
          <w:ilvl w:val="0"/>
          <w:numId w:val="0"/>
        </w:numPr>
        <w:rPr>
          <w:sz w:val="32"/>
          <w:szCs w:val="24"/>
        </w:rPr>
      </w:pPr>
      <w:r w:rsidRPr="0026598F">
        <w:rPr>
          <w:sz w:val="32"/>
          <w:szCs w:val="24"/>
        </w:rPr>
        <w:t>APPRENTICE PANEL SURVEY 2022</w:t>
      </w:r>
      <w:r>
        <w:rPr>
          <w:sz w:val="32"/>
          <w:szCs w:val="24"/>
        </w:rPr>
        <w:t xml:space="preserve"> – </w:t>
      </w:r>
      <w:r w:rsidRPr="0026598F">
        <w:rPr>
          <w:sz w:val="32"/>
          <w:szCs w:val="24"/>
        </w:rPr>
        <w:t>TECHNICAL ANNEX – METHODOLOGY</w:t>
      </w:r>
    </w:p>
    <w:p w14:paraId="4ABF420F" w14:textId="6BB65552" w:rsidR="00F47AFE" w:rsidRDefault="00F47AFE" w:rsidP="009C71FE">
      <w:pPr>
        <w:pStyle w:val="DeptBullets"/>
        <w:numPr>
          <w:ilvl w:val="0"/>
          <w:numId w:val="0"/>
        </w:numPr>
        <w:rPr>
          <w:b/>
          <w:bCs/>
        </w:rPr>
      </w:pPr>
      <w:r>
        <w:rPr>
          <w:b/>
          <w:bCs/>
        </w:rPr>
        <w:t xml:space="preserve">Participatory </w:t>
      </w:r>
      <w:r w:rsidR="00510041">
        <w:rPr>
          <w:b/>
          <w:bCs/>
        </w:rPr>
        <w:t>a</w:t>
      </w:r>
      <w:r>
        <w:rPr>
          <w:b/>
          <w:bCs/>
        </w:rPr>
        <w:t>pproach</w:t>
      </w:r>
    </w:p>
    <w:p w14:paraId="43EF92C1" w14:textId="15542427" w:rsidR="006527F8" w:rsidRDefault="001A0A41" w:rsidP="009C71FE">
      <w:pPr>
        <w:pStyle w:val="DeptBullets"/>
        <w:numPr>
          <w:ilvl w:val="0"/>
          <w:numId w:val="0"/>
        </w:numPr>
      </w:pPr>
      <w:r>
        <w:t xml:space="preserve">This survey </w:t>
      </w:r>
      <w:r w:rsidR="009C44C2">
        <w:t>used</w:t>
      </w:r>
      <w:r>
        <w:t xml:space="preserve"> a participatory approach. This means that </w:t>
      </w:r>
      <w:r w:rsidR="005F3939">
        <w:t xml:space="preserve">a small group of </w:t>
      </w:r>
      <w:r>
        <w:t>apprentices</w:t>
      </w:r>
      <w:r w:rsidR="005F3939">
        <w:t xml:space="preserve"> (those on IfATE’s apprentice panel)</w:t>
      </w:r>
      <w:r>
        <w:t xml:space="preserve"> </w:t>
      </w:r>
      <w:r w:rsidR="009C44C2">
        <w:t>were</w:t>
      </w:r>
      <w:r>
        <w:t xml:space="preserve"> involved throughout the survey design and interpretation </w:t>
      </w:r>
      <w:r w:rsidR="000A3544">
        <w:t>process and</w:t>
      </w:r>
      <w:r>
        <w:t xml:space="preserve"> </w:t>
      </w:r>
      <w:r w:rsidR="009C44C2">
        <w:t>made</w:t>
      </w:r>
      <w:r>
        <w:t xml:space="preserve"> many of the key decisions</w:t>
      </w:r>
      <w:r w:rsidR="002840A7">
        <w:t xml:space="preserve"> that shaped the project as a whole.</w:t>
      </w:r>
      <w:r w:rsidR="005F3939">
        <w:t xml:space="preserve"> </w:t>
      </w:r>
      <w:r>
        <w:t>This is a contrast to how surveys are typically conducted</w:t>
      </w:r>
      <w:r w:rsidR="005551C0">
        <w:t xml:space="preserve">. In a typical survey </w:t>
      </w:r>
      <w:proofErr w:type="gramStart"/>
      <w:r w:rsidR="005551C0">
        <w:t>project</w:t>
      </w:r>
      <w:proofErr w:type="gramEnd"/>
      <w:r w:rsidR="005551C0">
        <w:t xml:space="preserve"> </w:t>
      </w:r>
      <w:r w:rsidR="00A73663">
        <w:t>all</w:t>
      </w:r>
      <w:r w:rsidR="008E6FB2">
        <w:t xml:space="preserve"> </w:t>
      </w:r>
      <w:r w:rsidR="00A73663">
        <w:t>major design and interpretation decisions</w:t>
      </w:r>
      <w:r w:rsidR="009D792D">
        <w:t xml:space="preserve"> </w:t>
      </w:r>
      <w:r w:rsidR="005551C0">
        <w:t xml:space="preserve">are </w:t>
      </w:r>
      <w:r w:rsidR="009D792D">
        <w:t xml:space="preserve">handled by </w:t>
      </w:r>
      <w:r w:rsidR="00417420">
        <w:t>specialist survey researchers and policymakers</w:t>
      </w:r>
      <w:r w:rsidR="00A73663">
        <w:t xml:space="preserve">. </w:t>
      </w:r>
    </w:p>
    <w:p w14:paraId="2EB433EB" w14:textId="4DB4B516" w:rsidR="001C7A73" w:rsidRDefault="00277422" w:rsidP="009C71FE">
      <w:pPr>
        <w:pStyle w:val="DeptBullets"/>
        <w:numPr>
          <w:ilvl w:val="0"/>
          <w:numId w:val="0"/>
        </w:numPr>
      </w:pPr>
      <w:r>
        <w:t xml:space="preserve">Advocates </w:t>
      </w:r>
      <w:r w:rsidR="00CE241C">
        <w:t>of</w:t>
      </w:r>
      <w:r>
        <w:t xml:space="preserve"> p</w:t>
      </w:r>
      <w:r w:rsidR="006527F8">
        <w:t xml:space="preserve">articipatory approaches </w:t>
      </w:r>
      <w:r>
        <w:t>argue</w:t>
      </w:r>
      <w:r w:rsidR="006527F8">
        <w:t xml:space="preserve"> that better insights </w:t>
      </w:r>
      <w:r w:rsidR="00311C68">
        <w:t xml:space="preserve">are achieved when the group of interest </w:t>
      </w:r>
      <w:r w:rsidR="00DD6C3D">
        <w:t>is</w:t>
      </w:r>
      <w:r w:rsidR="00311C68">
        <w:t xml:space="preserve"> not limited to a </w:t>
      </w:r>
      <w:r w:rsidR="009044D7">
        <w:t>small</w:t>
      </w:r>
      <w:r w:rsidR="00311C68">
        <w:t xml:space="preserve"> part of the </w:t>
      </w:r>
      <w:r w:rsidR="00CE241C">
        <w:t>research</w:t>
      </w:r>
      <w:r w:rsidR="00311C68">
        <w:t xml:space="preserve"> </w:t>
      </w:r>
      <w:r w:rsidR="00555CF3">
        <w:t>process but</w:t>
      </w:r>
      <w:r w:rsidR="00311C68">
        <w:t xml:space="preserve"> </w:t>
      </w:r>
      <w:r w:rsidR="00DD6C3D">
        <w:t>is</w:t>
      </w:r>
      <w:r w:rsidR="00311C68">
        <w:t xml:space="preserve"> instead involved throughout</w:t>
      </w:r>
      <w:r w:rsidR="00B15396">
        <w:rPr>
          <w:rStyle w:val="FootnoteReference"/>
        </w:rPr>
        <w:footnoteReference w:id="1"/>
      </w:r>
      <w:r w:rsidR="00311C68">
        <w:t xml:space="preserve">. Respondents have domain knowledge and </w:t>
      </w:r>
      <w:proofErr w:type="gramStart"/>
      <w:r w:rsidR="001C7A73">
        <w:t>lived</w:t>
      </w:r>
      <w:proofErr w:type="gramEnd"/>
      <w:r w:rsidR="001C7A73">
        <w:t xml:space="preserve"> experience</w:t>
      </w:r>
      <w:r w:rsidR="00311C68">
        <w:t xml:space="preserve"> that even the most conscientious researcher cannot </w:t>
      </w:r>
      <w:r w:rsidR="00F71705">
        <w:t>match and</w:t>
      </w:r>
      <w:r w:rsidR="00311C68">
        <w:t xml:space="preserve"> can make vital contributions to the design and interpretation of </w:t>
      </w:r>
      <w:r w:rsidR="00CE241C">
        <w:t>surveys.</w:t>
      </w:r>
      <w:r w:rsidR="00050EA4">
        <w:t xml:space="preserve"> </w:t>
      </w:r>
      <w:r w:rsidR="00311C68">
        <w:t xml:space="preserve">Participatory </w:t>
      </w:r>
      <w:r w:rsidR="00E063C2">
        <w:t xml:space="preserve">methods </w:t>
      </w:r>
      <w:r w:rsidR="00311C68">
        <w:t xml:space="preserve">also help to democratise </w:t>
      </w:r>
      <w:r w:rsidR="001C7A73">
        <w:t xml:space="preserve">government </w:t>
      </w:r>
      <w:r w:rsidR="00311C68">
        <w:t xml:space="preserve">research, allowing people the opportunity </w:t>
      </w:r>
      <w:r w:rsidR="001A0A41">
        <w:t>to influence the research that government conducts about them</w:t>
      </w:r>
      <w:r w:rsidR="00E063C2">
        <w:t>, and that informs policy that may affect their lives.</w:t>
      </w:r>
    </w:p>
    <w:p w14:paraId="416EDFDD" w14:textId="37336D48" w:rsidR="001C7A73" w:rsidRDefault="00C774D7" w:rsidP="009C71FE">
      <w:pPr>
        <w:pStyle w:val="DeptBullets"/>
        <w:numPr>
          <w:ilvl w:val="0"/>
          <w:numId w:val="0"/>
        </w:numPr>
      </w:pPr>
      <w:r>
        <w:t>Following a participatory approach, t</w:t>
      </w:r>
      <w:r w:rsidR="001C7A73">
        <w:t xml:space="preserve">he </w:t>
      </w:r>
      <w:r w:rsidR="00B34C48">
        <w:t xml:space="preserve">survey was designed and interpreted by members of IfATE’s apprentice panel. The </w:t>
      </w:r>
      <w:r w:rsidR="001C7A73">
        <w:t xml:space="preserve">apprentice panel </w:t>
      </w:r>
      <w:r w:rsidR="0022396A">
        <w:t>is</w:t>
      </w:r>
      <w:r w:rsidR="001C7A73">
        <w:t xml:space="preserve"> an advisory group of current apprentices and represent</w:t>
      </w:r>
      <w:r w:rsidR="0022396A">
        <w:t>s</w:t>
      </w:r>
      <w:r w:rsidR="001C7A73">
        <w:t xml:space="preserve"> a wide a range of sectors, qualification levels, and personal characteristics. The panel typically meet</w:t>
      </w:r>
      <w:r w:rsidR="0022396A">
        <w:t>s</w:t>
      </w:r>
      <w:r w:rsidR="001C7A73">
        <w:t xml:space="preserve"> once per </w:t>
      </w:r>
      <w:r w:rsidR="00F71705">
        <w:t>month and</w:t>
      </w:r>
      <w:r w:rsidR="001C7A73">
        <w:t xml:space="preserve"> provide</w:t>
      </w:r>
      <w:r w:rsidR="0022396A">
        <w:t>s</w:t>
      </w:r>
      <w:r w:rsidR="001C7A73">
        <w:t xml:space="preserve"> advice to IfATE on a range of topics from apprentices’ perspectives. Panel members attend with the support of their employers, and panel sessions are conducted during work hours.</w:t>
      </w:r>
    </w:p>
    <w:p w14:paraId="037FA1DF" w14:textId="14EC2A4C" w:rsidR="001A38D4" w:rsidRDefault="001A38D4" w:rsidP="009C71FE">
      <w:pPr>
        <w:pStyle w:val="DeptBullets"/>
        <w:numPr>
          <w:ilvl w:val="0"/>
          <w:numId w:val="0"/>
        </w:numPr>
        <w:rPr>
          <w:b/>
          <w:bCs/>
        </w:rPr>
      </w:pPr>
      <w:r w:rsidRPr="001A38D4">
        <w:rPr>
          <w:b/>
          <w:bCs/>
        </w:rPr>
        <w:t xml:space="preserve">Survey </w:t>
      </w:r>
      <w:r w:rsidR="0022396A">
        <w:rPr>
          <w:b/>
          <w:bCs/>
        </w:rPr>
        <w:t>d</w:t>
      </w:r>
      <w:r w:rsidRPr="001A38D4">
        <w:rPr>
          <w:b/>
          <w:bCs/>
        </w:rPr>
        <w:t>evelopment</w:t>
      </w:r>
    </w:p>
    <w:p w14:paraId="436E01D2" w14:textId="775C8652" w:rsidR="0018220B" w:rsidRDefault="00DF3319" w:rsidP="009C71FE">
      <w:pPr>
        <w:pStyle w:val="DeptBullets"/>
        <w:numPr>
          <w:ilvl w:val="0"/>
          <w:numId w:val="0"/>
        </w:numPr>
      </w:pPr>
      <w:r>
        <w:t>The panel generated thematic areas for the survey over the course of two full-panel sessions</w:t>
      </w:r>
      <w:r w:rsidR="00F47AFE">
        <w:t>, with input from IfATE</w:t>
      </w:r>
      <w:r w:rsidR="005551C0">
        <w:t xml:space="preserve"> analytical and policy</w:t>
      </w:r>
      <w:r w:rsidR="00F47AFE">
        <w:t xml:space="preserve"> staff</w:t>
      </w:r>
      <w:r w:rsidR="0018220B">
        <w:t>. These thematic areas form the section headings for the report.</w:t>
      </w:r>
    </w:p>
    <w:p w14:paraId="3D2A5624" w14:textId="56D19107" w:rsidR="00DF3319" w:rsidRDefault="00DF3319" w:rsidP="009C71FE">
      <w:pPr>
        <w:pStyle w:val="DeptBullets"/>
        <w:numPr>
          <w:ilvl w:val="0"/>
          <w:numId w:val="0"/>
        </w:numPr>
      </w:pPr>
      <w:r>
        <w:t xml:space="preserve">A </w:t>
      </w:r>
      <w:r w:rsidR="0018220B">
        <w:t xml:space="preserve">voluntary </w:t>
      </w:r>
      <w:r>
        <w:t xml:space="preserve">working group of </w:t>
      </w:r>
      <w:r w:rsidR="00A90A96">
        <w:t>four</w:t>
      </w:r>
      <w:r>
        <w:t xml:space="preserve"> panel members </w:t>
      </w:r>
      <w:r w:rsidR="00EF4F11">
        <w:t>was then formed to develop the themes into a survey. This was done over the course of four workshop</w:t>
      </w:r>
      <w:r w:rsidR="0018220B">
        <w:t>-</w:t>
      </w:r>
      <w:r w:rsidR="00EF4F11">
        <w:t>style sessions, facilitated by an IfATE social researcher.</w:t>
      </w:r>
      <w:r w:rsidR="00B31021">
        <w:t xml:space="preserve"> </w:t>
      </w:r>
    </w:p>
    <w:p w14:paraId="493D15B5" w14:textId="745F304F" w:rsidR="00AA2F37" w:rsidRDefault="00DF1503" w:rsidP="009C71FE">
      <w:pPr>
        <w:pStyle w:val="DeptBullets"/>
        <w:numPr>
          <w:ilvl w:val="0"/>
          <w:numId w:val="0"/>
        </w:numPr>
      </w:pPr>
      <w:r>
        <w:t>The survey was d</w:t>
      </w:r>
      <w:r w:rsidR="0039734A">
        <w:t xml:space="preserve">esigned to align with </w:t>
      </w:r>
      <w:r>
        <w:t xml:space="preserve">the </w:t>
      </w:r>
      <w:hyperlink r:id="rId13" w:history="1">
        <w:r w:rsidRPr="00AA2F37">
          <w:rPr>
            <w:rStyle w:val="Hyperlink"/>
          </w:rPr>
          <w:t>2021 Apprentice Evaluation Survey</w:t>
        </w:r>
        <w:r w:rsidR="00EE0F94" w:rsidRPr="00AA2F37">
          <w:rPr>
            <w:rStyle w:val="Hyperlink"/>
          </w:rPr>
          <w:t xml:space="preserve"> (</w:t>
        </w:r>
        <w:proofErr w:type="spellStart"/>
        <w:r w:rsidR="00EE0F94" w:rsidRPr="00AA2F37">
          <w:rPr>
            <w:rStyle w:val="Hyperlink"/>
          </w:rPr>
          <w:t>AEvS</w:t>
        </w:r>
        <w:proofErr w:type="spellEnd"/>
        <w:r w:rsidR="00EE0F94" w:rsidRPr="00AA2F37">
          <w:rPr>
            <w:rStyle w:val="Hyperlink"/>
          </w:rPr>
          <w:t>)</w:t>
        </w:r>
      </w:hyperlink>
      <w:r w:rsidR="0039734A">
        <w:t xml:space="preserve">, a nationally representative survey of apprentices conducted by </w:t>
      </w:r>
      <w:r w:rsidR="00290240">
        <w:t>the Department for Education (</w:t>
      </w:r>
      <w:r w:rsidR="0039734A">
        <w:t>DfE</w:t>
      </w:r>
      <w:r w:rsidR="00290240">
        <w:t>)</w:t>
      </w:r>
      <w:r w:rsidR="0039734A">
        <w:t xml:space="preserve">. </w:t>
      </w:r>
      <w:r w:rsidR="00EE0F94">
        <w:t xml:space="preserve">The </w:t>
      </w:r>
      <w:r w:rsidR="00290240">
        <w:t>a</w:t>
      </w:r>
      <w:r w:rsidR="00AA2F37">
        <w:t xml:space="preserve">pprentice </w:t>
      </w:r>
      <w:r w:rsidR="00290240">
        <w:t>p</w:t>
      </w:r>
      <w:r w:rsidR="00AA2F37">
        <w:t xml:space="preserve">anel </w:t>
      </w:r>
      <w:r w:rsidR="00290240">
        <w:t>s</w:t>
      </w:r>
      <w:r w:rsidR="00EE0F94">
        <w:t xml:space="preserve">urvey sought to complement, rather than duplicate the </w:t>
      </w:r>
      <w:proofErr w:type="spellStart"/>
      <w:r w:rsidR="00EE0F94">
        <w:t>AEvS</w:t>
      </w:r>
      <w:proofErr w:type="spellEnd"/>
      <w:r w:rsidR="00EE0F94">
        <w:t>.</w:t>
      </w:r>
    </w:p>
    <w:p w14:paraId="71DAD7BF" w14:textId="51BE61BE" w:rsidR="00AA2F37" w:rsidRDefault="00EF4E91" w:rsidP="009C71FE">
      <w:pPr>
        <w:pStyle w:val="DeptBullets"/>
        <w:numPr>
          <w:ilvl w:val="0"/>
          <w:numId w:val="0"/>
        </w:numPr>
      </w:pPr>
      <w:r>
        <w:t xml:space="preserve">The 2022 </w:t>
      </w:r>
      <w:r w:rsidR="000F48E2">
        <w:t>a</w:t>
      </w:r>
      <w:r>
        <w:t xml:space="preserve">pprentice </w:t>
      </w:r>
      <w:r w:rsidR="000F48E2">
        <w:t>p</w:t>
      </w:r>
      <w:r>
        <w:t xml:space="preserve">anel survey followed a similar survey in 2020. The </w:t>
      </w:r>
      <w:r>
        <w:lastRenderedPageBreak/>
        <w:t>2020 survey had been something of a</w:t>
      </w:r>
      <w:r w:rsidR="008259E4">
        <w:t xml:space="preserve"> pilot</w:t>
      </w:r>
      <w:r w:rsidR="000F48E2">
        <w:t>;</w:t>
      </w:r>
      <w:r>
        <w:t xml:space="preserve"> it was therefore decided to conduct a major revision of the questions for 2022. As such, only a small number of questions appeared on both surveys. Future editions of the apprentice panel survey may place more emphasis on building a longitudinal dataset for comparison over time.</w:t>
      </w:r>
    </w:p>
    <w:p w14:paraId="718DD1F5" w14:textId="6077899F" w:rsidR="001A38D4" w:rsidRDefault="001A38D4" w:rsidP="009C71FE">
      <w:pPr>
        <w:pStyle w:val="DeptBullets"/>
        <w:numPr>
          <w:ilvl w:val="0"/>
          <w:numId w:val="0"/>
        </w:numPr>
        <w:rPr>
          <w:b/>
          <w:bCs/>
        </w:rPr>
      </w:pPr>
      <w:r w:rsidRPr="001A38D4">
        <w:rPr>
          <w:b/>
          <w:bCs/>
        </w:rPr>
        <w:t xml:space="preserve">Survey </w:t>
      </w:r>
      <w:r w:rsidR="00D86A3C">
        <w:rPr>
          <w:b/>
          <w:bCs/>
        </w:rPr>
        <w:t>d</w:t>
      </w:r>
      <w:r w:rsidRPr="001A38D4">
        <w:rPr>
          <w:b/>
          <w:bCs/>
        </w:rPr>
        <w:t>istribution</w:t>
      </w:r>
      <w:r w:rsidR="005C59D4">
        <w:rPr>
          <w:b/>
          <w:bCs/>
        </w:rPr>
        <w:t xml:space="preserve"> and </w:t>
      </w:r>
      <w:r w:rsidR="00D86A3C">
        <w:rPr>
          <w:b/>
          <w:bCs/>
        </w:rPr>
        <w:t>s</w:t>
      </w:r>
      <w:r w:rsidR="005C59D4">
        <w:rPr>
          <w:b/>
          <w:bCs/>
        </w:rPr>
        <w:t>ample</w:t>
      </w:r>
    </w:p>
    <w:p w14:paraId="1FCA7C1F" w14:textId="684CD74A" w:rsidR="00DF3319" w:rsidRDefault="00DF3319" w:rsidP="009C71FE">
      <w:pPr>
        <w:pStyle w:val="DeptBullets"/>
        <w:numPr>
          <w:ilvl w:val="0"/>
          <w:numId w:val="0"/>
        </w:numPr>
      </w:pPr>
      <w:r>
        <w:t>The survey was hosted online</w:t>
      </w:r>
      <w:r w:rsidR="00C774D7">
        <w:t>,</w:t>
      </w:r>
      <w:r w:rsidR="005A1B62">
        <w:t xml:space="preserve"> and fieldwork was launched as part of IfATE’s activities for </w:t>
      </w:r>
      <w:r w:rsidR="00B31021">
        <w:t xml:space="preserve">National Apprenticeship </w:t>
      </w:r>
      <w:r w:rsidR="000A06CF">
        <w:t>W</w:t>
      </w:r>
      <w:r w:rsidR="00B31021">
        <w:t>eek</w:t>
      </w:r>
      <w:r w:rsidR="000A06CF">
        <w:t xml:space="preserve"> 2022</w:t>
      </w:r>
      <w:r w:rsidR="006D7793">
        <w:t>.</w:t>
      </w:r>
      <w:r w:rsidR="00B31021">
        <w:t xml:space="preserve"> </w:t>
      </w:r>
      <w:r>
        <w:t xml:space="preserve">To reach the largest sample possible, </w:t>
      </w:r>
      <w:r w:rsidR="000A06CF">
        <w:t>the survey</w:t>
      </w:r>
      <w:r>
        <w:t xml:space="preserve"> was advertised through a range of channels, including IfATE’s social media channels and mailing list</w:t>
      </w:r>
      <w:r w:rsidR="0018220B">
        <w:t>s</w:t>
      </w:r>
      <w:r>
        <w:t>,</w:t>
      </w:r>
      <w:r w:rsidR="0018220B">
        <w:t xml:space="preserve"> events,</w:t>
      </w:r>
      <w:r>
        <w:t xml:space="preserve"> and through panel members</w:t>
      </w:r>
      <w:r w:rsidR="00A90A96">
        <w:t>’ networks.</w:t>
      </w:r>
    </w:p>
    <w:p w14:paraId="66EC3082" w14:textId="703F3B80" w:rsidR="008D2907" w:rsidRDefault="008D2907" w:rsidP="009C71FE">
      <w:pPr>
        <w:pStyle w:val="DeptBullets"/>
        <w:numPr>
          <w:ilvl w:val="0"/>
          <w:numId w:val="0"/>
        </w:numPr>
      </w:pPr>
      <w:r>
        <w:t xml:space="preserve">Responses were received from a wide range of apprentices, including across personal characteristics such </w:t>
      </w:r>
      <w:r w:rsidR="00D74746">
        <w:t xml:space="preserve">as </w:t>
      </w:r>
      <w:r>
        <w:t xml:space="preserve">gender, ethnicity, age, disability status, and sexuality, as well as apprenticeship attributes such as level, </w:t>
      </w:r>
      <w:r w:rsidR="00542226">
        <w:t xml:space="preserve">occupational </w:t>
      </w:r>
      <w:proofErr w:type="gramStart"/>
      <w:r>
        <w:t>route</w:t>
      </w:r>
      <w:proofErr w:type="gramEnd"/>
      <w:r>
        <w:t xml:space="preserve"> and employer size. See the accompanying data tables (q48 – q62) for a full break down of the characteristics of the sample.</w:t>
      </w:r>
    </w:p>
    <w:p w14:paraId="25E7934E" w14:textId="7A9D2D83" w:rsidR="008D2907" w:rsidRDefault="000A3544" w:rsidP="009C71FE">
      <w:pPr>
        <w:pStyle w:val="DeptBullets"/>
        <w:numPr>
          <w:ilvl w:val="0"/>
          <w:numId w:val="0"/>
        </w:numPr>
      </w:pPr>
      <w:r>
        <w:t>This sampling approach means that the survey results</w:t>
      </w:r>
      <w:r w:rsidR="005A1B62">
        <w:t xml:space="preserve"> c</w:t>
      </w:r>
      <w:r w:rsidR="00DF3319">
        <w:t>annot be considered to be representative of the population of apprentices in England, and results should not be generalised beyond the 2,016 apprentices who responded.</w:t>
      </w:r>
      <w:r w:rsidR="006D7793">
        <w:t xml:space="preserve"> </w:t>
      </w:r>
    </w:p>
    <w:p w14:paraId="49774602" w14:textId="5E4A0B01" w:rsidR="001A38D4" w:rsidRPr="00DF3319" w:rsidRDefault="00BF2487" w:rsidP="009C71FE">
      <w:pPr>
        <w:pStyle w:val="DeptBullets"/>
        <w:numPr>
          <w:ilvl w:val="0"/>
          <w:numId w:val="0"/>
        </w:numPr>
      </w:pPr>
      <w:r>
        <w:rPr>
          <w:b/>
          <w:bCs/>
        </w:rPr>
        <w:t xml:space="preserve">Quantitative </w:t>
      </w:r>
      <w:r w:rsidR="00816F35">
        <w:rPr>
          <w:b/>
          <w:bCs/>
        </w:rPr>
        <w:t>d</w:t>
      </w:r>
      <w:r>
        <w:rPr>
          <w:b/>
          <w:bCs/>
        </w:rPr>
        <w:t xml:space="preserve">ata </w:t>
      </w:r>
      <w:r w:rsidR="00816F35">
        <w:rPr>
          <w:b/>
          <w:bCs/>
        </w:rPr>
        <w:t>a</w:t>
      </w:r>
      <w:r w:rsidR="001A38D4" w:rsidRPr="001A38D4">
        <w:rPr>
          <w:b/>
          <w:bCs/>
        </w:rPr>
        <w:t>nalysis</w:t>
      </w:r>
      <w:r w:rsidR="00CD0B0A">
        <w:rPr>
          <w:b/>
          <w:bCs/>
        </w:rPr>
        <w:t xml:space="preserve"> – </w:t>
      </w:r>
      <w:r w:rsidR="00816F35">
        <w:rPr>
          <w:b/>
          <w:bCs/>
        </w:rPr>
        <w:t>d</w:t>
      </w:r>
      <w:r w:rsidR="00CD0B0A">
        <w:rPr>
          <w:b/>
          <w:bCs/>
        </w:rPr>
        <w:t xml:space="preserve">escriptive </w:t>
      </w:r>
      <w:r w:rsidR="00816F35">
        <w:rPr>
          <w:b/>
          <w:bCs/>
        </w:rPr>
        <w:t>s</w:t>
      </w:r>
      <w:r w:rsidR="00CD0B0A">
        <w:rPr>
          <w:b/>
          <w:bCs/>
        </w:rPr>
        <w:t>ummaries</w:t>
      </w:r>
    </w:p>
    <w:p w14:paraId="690F29C9" w14:textId="77777777" w:rsidR="00645C01" w:rsidRDefault="00DF3319" w:rsidP="009C71FE">
      <w:pPr>
        <w:pStyle w:val="DeptBullets"/>
        <w:numPr>
          <w:ilvl w:val="0"/>
          <w:numId w:val="0"/>
        </w:numPr>
      </w:pPr>
      <w:r>
        <w:t>The analysis shown in the report is primarily descriptive.</w:t>
      </w:r>
      <w:r w:rsidR="006D7793">
        <w:t xml:space="preserve"> Notable results are shown in bar charts or quoted within the text of the report.</w:t>
      </w:r>
      <w:r>
        <w:t xml:space="preserve"> </w:t>
      </w:r>
      <w:r w:rsidR="006D7793">
        <w:t xml:space="preserve">Complete summaries of responses </w:t>
      </w:r>
      <w:r w:rsidR="009C7FBF">
        <w:t xml:space="preserve">to </w:t>
      </w:r>
      <w:r w:rsidR="006D7793">
        <w:t>all questions are reported in the accompanying data tables.</w:t>
      </w:r>
      <w:r w:rsidR="009C7FBF">
        <w:t xml:space="preserve"> </w:t>
      </w:r>
    </w:p>
    <w:p w14:paraId="1E5BD184" w14:textId="77777777" w:rsidR="00CD0B0A" w:rsidRDefault="009C7FBF" w:rsidP="009C71FE">
      <w:pPr>
        <w:pStyle w:val="DeptBullets"/>
        <w:numPr>
          <w:ilvl w:val="0"/>
          <w:numId w:val="0"/>
        </w:numPr>
      </w:pPr>
      <w:r>
        <w:t>In accordance with disclosure control principles, responses selected by 5 respondents or fewer have been obscured. This has been achieved by combining options with low response rates. So, for example</w:t>
      </w:r>
      <w:r w:rsidR="005A1B62">
        <w:t>,</w:t>
      </w:r>
      <w:r>
        <w:t xml:space="preserve"> the summary</w:t>
      </w:r>
      <w:r w:rsidR="00CD0B0A">
        <w:t>:</w:t>
      </w:r>
    </w:p>
    <w:p w14:paraId="578A2A61" w14:textId="2582E86D" w:rsidR="00CD0B0A" w:rsidRDefault="009C7FBF" w:rsidP="009C71FE">
      <w:pPr>
        <w:pStyle w:val="DeptBullets"/>
        <w:numPr>
          <w:ilvl w:val="0"/>
          <w:numId w:val="0"/>
        </w:numPr>
      </w:pPr>
      <w:r>
        <w:t>[</w:t>
      </w:r>
      <w:r w:rsidR="0014017D">
        <w:t>Agree</w:t>
      </w:r>
      <w:r>
        <w:t xml:space="preserve"> – 3, N</w:t>
      </w:r>
      <w:r w:rsidR="0014017D">
        <w:t>eutral</w:t>
      </w:r>
      <w:r>
        <w:t xml:space="preserve"> </w:t>
      </w:r>
      <w:r w:rsidR="0014017D">
        <w:t>–</w:t>
      </w:r>
      <w:r>
        <w:t xml:space="preserve"> 5</w:t>
      </w:r>
      <w:r w:rsidR="0014017D">
        <w:t>, Disagree – 10</w:t>
      </w:r>
      <w:r>
        <w:t>]</w:t>
      </w:r>
    </w:p>
    <w:p w14:paraId="2368039B" w14:textId="77777777" w:rsidR="00CD0B0A" w:rsidRDefault="009C7FBF" w:rsidP="009C71FE">
      <w:pPr>
        <w:pStyle w:val="DeptBullets"/>
        <w:numPr>
          <w:ilvl w:val="0"/>
          <w:numId w:val="0"/>
        </w:numPr>
      </w:pPr>
      <w:r>
        <w:t>would be grouped to</w:t>
      </w:r>
      <w:r w:rsidR="00CD0B0A">
        <w:t>:</w:t>
      </w:r>
    </w:p>
    <w:p w14:paraId="2463187B" w14:textId="3B51FA49" w:rsidR="00CD0B0A" w:rsidRDefault="009C7FBF" w:rsidP="009C71FE">
      <w:pPr>
        <w:pStyle w:val="DeptBullets"/>
        <w:numPr>
          <w:ilvl w:val="0"/>
          <w:numId w:val="0"/>
        </w:numPr>
      </w:pPr>
      <w:r>
        <w:t>[</w:t>
      </w:r>
      <w:r w:rsidR="006E5AF8">
        <w:t>Agree</w:t>
      </w:r>
      <w:r>
        <w:t xml:space="preserve"> / </w:t>
      </w:r>
      <w:r w:rsidR="006E5AF8">
        <w:t>Neutral</w:t>
      </w:r>
      <w:r>
        <w:t xml:space="preserve"> – 8</w:t>
      </w:r>
      <w:r w:rsidR="0014017D">
        <w:t>, Disagree – 10</w:t>
      </w:r>
      <w:r>
        <w:t>].</w:t>
      </w:r>
    </w:p>
    <w:p w14:paraId="0A64E0AE" w14:textId="52FB9248" w:rsidR="00645C01" w:rsidRDefault="0014017D" w:rsidP="009C71FE">
      <w:pPr>
        <w:pStyle w:val="DeptBullets"/>
        <w:numPr>
          <w:ilvl w:val="0"/>
          <w:numId w:val="0"/>
        </w:numPr>
      </w:pPr>
      <w:r>
        <w:t>This approach assures anonymity w</w:t>
      </w:r>
      <w:r w:rsidR="00645C01">
        <w:t>hile still retaining some information (relative to completely redacting low responses, where no information is retained).</w:t>
      </w:r>
    </w:p>
    <w:p w14:paraId="1827A887" w14:textId="40828AF5" w:rsidR="00CD0B0A" w:rsidRDefault="00CD0B0A" w:rsidP="009C71FE">
      <w:pPr>
        <w:pStyle w:val="DeptBullets"/>
        <w:numPr>
          <w:ilvl w:val="0"/>
          <w:numId w:val="0"/>
        </w:numPr>
      </w:pPr>
      <w:r>
        <w:rPr>
          <w:b/>
          <w:bCs/>
        </w:rPr>
        <w:t xml:space="preserve">Quantitative </w:t>
      </w:r>
      <w:r w:rsidR="003D4F08">
        <w:rPr>
          <w:b/>
          <w:bCs/>
        </w:rPr>
        <w:t>d</w:t>
      </w:r>
      <w:r>
        <w:rPr>
          <w:b/>
          <w:bCs/>
        </w:rPr>
        <w:t xml:space="preserve">ata </w:t>
      </w:r>
      <w:r w:rsidR="003D4F08">
        <w:rPr>
          <w:b/>
          <w:bCs/>
        </w:rPr>
        <w:t>a</w:t>
      </w:r>
      <w:r w:rsidRPr="001A38D4">
        <w:rPr>
          <w:b/>
          <w:bCs/>
        </w:rPr>
        <w:t>nalysis</w:t>
      </w:r>
      <w:r>
        <w:rPr>
          <w:b/>
          <w:bCs/>
        </w:rPr>
        <w:t xml:space="preserve"> – </w:t>
      </w:r>
      <w:r w:rsidR="003D4F08">
        <w:rPr>
          <w:b/>
          <w:bCs/>
        </w:rPr>
        <w:t>b</w:t>
      </w:r>
      <w:r>
        <w:rPr>
          <w:b/>
          <w:bCs/>
        </w:rPr>
        <w:t xml:space="preserve">etween </w:t>
      </w:r>
      <w:r w:rsidR="003D4F08">
        <w:rPr>
          <w:b/>
          <w:bCs/>
        </w:rPr>
        <w:t>g</w:t>
      </w:r>
      <w:r>
        <w:rPr>
          <w:b/>
          <w:bCs/>
        </w:rPr>
        <w:t xml:space="preserve">roups </w:t>
      </w:r>
      <w:r w:rsidR="003D4F08">
        <w:rPr>
          <w:b/>
          <w:bCs/>
        </w:rPr>
        <w:t>c</w:t>
      </w:r>
      <w:r>
        <w:rPr>
          <w:b/>
          <w:bCs/>
        </w:rPr>
        <w:t>omparisons</w:t>
      </w:r>
    </w:p>
    <w:p w14:paraId="43193E7F" w14:textId="1A753FC4" w:rsidR="009C7FBF" w:rsidRDefault="006D7793" w:rsidP="009C71FE">
      <w:pPr>
        <w:pStyle w:val="DeptBullets"/>
        <w:numPr>
          <w:ilvl w:val="0"/>
          <w:numId w:val="0"/>
        </w:numPr>
      </w:pPr>
      <w:r>
        <w:t>For comparisons between groups,</w:t>
      </w:r>
      <w:r w:rsidR="00DF3319">
        <w:t xml:space="preserve"> Fisher’s test was used to test for statistical significance. Fisher’s test </w:t>
      </w:r>
      <w:r w:rsidR="00A90A96">
        <w:t xml:space="preserve">was chosen as </w:t>
      </w:r>
      <w:r w:rsidR="00AB75E6">
        <w:t xml:space="preserve">it is </w:t>
      </w:r>
      <w:r w:rsidR="00A90A96">
        <w:t xml:space="preserve">a test with relatively few assumptions, </w:t>
      </w:r>
      <w:r w:rsidR="00F71705">
        <w:t>which</w:t>
      </w:r>
      <w:r w:rsidR="00A90A96">
        <w:t xml:space="preserve"> is valid for all sample sizes.</w:t>
      </w:r>
    </w:p>
    <w:p w14:paraId="16B32A42" w14:textId="77777777" w:rsidR="008A56B3" w:rsidRDefault="005551C0" w:rsidP="009C71FE">
      <w:pPr>
        <w:pStyle w:val="DeptBullets"/>
        <w:numPr>
          <w:ilvl w:val="0"/>
          <w:numId w:val="0"/>
        </w:numPr>
      </w:pPr>
      <w:r>
        <w:t xml:space="preserve">This research was by nature exploratory – the questions were based around </w:t>
      </w:r>
      <w:r>
        <w:lastRenderedPageBreak/>
        <w:t xml:space="preserve">areas the panel thought would be interesting to explore, rather than on explicit, testable hypotheses. The analysis therefore explored a wide range of possible relationships within the data (rather than testing </w:t>
      </w:r>
      <w:r w:rsidR="008A56B3">
        <w:t>to provide answers to a smaller number of specific research questions</w:t>
      </w:r>
      <w:r>
        <w:t xml:space="preserve">). </w:t>
      </w:r>
    </w:p>
    <w:p w14:paraId="0022CB60" w14:textId="77F50BFF" w:rsidR="003B7B01" w:rsidRDefault="003F4786" w:rsidP="009C71FE">
      <w:pPr>
        <w:pStyle w:val="DeptBullets"/>
        <w:numPr>
          <w:ilvl w:val="0"/>
          <w:numId w:val="0"/>
        </w:numPr>
      </w:pPr>
      <w:r>
        <w:t xml:space="preserve">The survey data was split into outcome </w:t>
      </w:r>
      <w:r w:rsidR="008A56B3">
        <w:t>variables</w:t>
      </w:r>
      <w:r>
        <w:t xml:space="preserve"> and grouping </w:t>
      </w:r>
      <w:r w:rsidR="008A56B3">
        <w:t>variables</w:t>
      </w:r>
      <w:r w:rsidR="00645C01">
        <w:t>. Gro</w:t>
      </w:r>
      <w:r w:rsidR="006E5AF8">
        <w:t>u</w:t>
      </w:r>
      <w:r w:rsidR="00645C01">
        <w:t xml:space="preserve">ping </w:t>
      </w:r>
      <w:r w:rsidR="008A56B3">
        <w:t>variables</w:t>
      </w:r>
      <w:r w:rsidR="00645C01">
        <w:t xml:space="preserve"> were made up of </w:t>
      </w:r>
      <w:r w:rsidR="005551C0">
        <w:t>data about the respondent, such as their gender, or the level of their apprenticeship</w:t>
      </w:r>
      <w:r w:rsidR="004E07B7">
        <w:t xml:space="preserve"> (see Table 1)</w:t>
      </w:r>
      <w:r w:rsidR="005551C0">
        <w:t>.</w:t>
      </w:r>
      <w:r w:rsidR="00645C01">
        <w:t xml:space="preserve"> </w:t>
      </w:r>
      <w:r w:rsidR="005551C0">
        <w:t>O</w:t>
      </w:r>
      <w:r w:rsidR="00645C01">
        <w:t>utcome questions were made of the remaining categorical questions in the survey</w:t>
      </w:r>
      <w:r w:rsidR="005551C0">
        <w:t xml:space="preserve"> – such as the respondents</w:t>
      </w:r>
      <w:r w:rsidR="00AC48C0">
        <w:t>’</w:t>
      </w:r>
      <w:r w:rsidR="005551C0">
        <w:t xml:space="preserve"> reported views on online learning</w:t>
      </w:r>
      <w:r w:rsidR="006E5AF8">
        <w:t xml:space="preserve">. </w:t>
      </w:r>
      <w:r w:rsidR="00645C01">
        <w:t>The relationship between each</w:t>
      </w:r>
      <w:r w:rsidR="00F47AFE">
        <w:t xml:space="preserve"> possible group-outcome pair was tested</w:t>
      </w:r>
      <w:r w:rsidR="00645C01">
        <w:t xml:space="preserve">, </w:t>
      </w:r>
      <w:r w:rsidR="006E5AF8">
        <w:t xml:space="preserve">resulting </w:t>
      </w:r>
      <w:r w:rsidR="003B7B01">
        <w:t>in 584 tests in total.</w:t>
      </w:r>
    </w:p>
    <w:p w14:paraId="4A3AC879" w14:textId="55B82CAB" w:rsidR="003B7B01" w:rsidRDefault="003B7B01" w:rsidP="009C71FE">
      <w:pPr>
        <w:pStyle w:val="DeptBullets"/>
        <w:numPr>
          <w:ilvl w:val="0"/>
          <w:numId w:val="0"/>
        </w:numPr>
      </w:pPr>
      <w:r>
        <w:t>Fisher</w:t>
      </w:r>
      <w:r w:rsidR="00645C01">
        <w:t>’</w:t>
      </w:r>
      <w:r>
        <w:t xml:space="preserve">s test requires a 2x2 contingency table. Therefore, questions with more than two response options were converted to binary dummy variables for analysis. For Likert-style categorical questions (which make up </w:t>
      </w:r>
      <w:proofErr w:type="gramStart"/>
      <w:r>
        <w:t>the majority of</w:t>
      </w:r>
      <w:proofErr w:type="gramEnd"/>
      <w:r>
        <w:t xml:space="preserve"> the survey), the dummy variables were constructed so that the two “most positive” options (</w:t>
      </w:r>
      <w:proofErr w:type="spellStart"/>
      <w:r>
        <w:t>eg</w:t>
      </w:r>
      <w:proofErr w:type="spellEnd"/>
      <w:r w:rsidR="00EB1D5D">
        <w:t>,</w:t>
      </w:r>
      <w:r>
        <w:t xml:space="preserve"> “Strongly agree”, “Agree”) formed the True condition, and the remaining options (</w:t>
      </w:r>
      <w:proofErr w:type="spellStart"/>
      <w:r>
        <w:t>eg</w:t>
      </w:r>
      <w:proofErr w:type="spellEnd"/>
      <w:r w:rsidR="00EB1D5D">
        <w:t>,</w:t>
      </w:r>
      <w:r>
        <w:t xml:space="preserve"> “Neither </w:t>
      </w:r>
      <w:r w:rsidR="00BB28E7">
        <w:t>a</w:t>
      </w:r>
      <w:r>
        <w:t xml:space="preserve">gree nor </w:t>
      </w:r>
      <w:r w:rsidR="00BB28E7">
        <w:t>d</w:t>
      </w:r>
      <w:r>
        <w:t xml:space="preserve">isagree”, “Disagree”, “Strongly disagree”) made up the False condition. </w:t>
      </w:r>
    </w:p>
    <w:p w14:paraId="4EAE92A6" w14:textId="3BD3308C" w:rsidR="003B7B01" w:rsidRDefault="003B7B01" w:rsidP="009C71FE">
      <w:pPr>
        <w:pStyle w:val="DeptBullets"/>
        <w:numPr>
          <w:ilvl w:val="0"/>
          <w:numId w:val="0"/>
        </w:numPr>
      </w:pPr>
      <w:r>
        <w:t xml:space="preserve">“Not </w:t>
      </w:r>
      <w:r w:rsidR="00BB28E7">
        <w:t>s</w:t>
      </w:r>
      <w:r>
        <w:t>ure” responses generally were not included in comparative analysis, with a few exceptions where this was judged to be appropriate. An example of such an exception is questions where apprentices were asked if they recalled, or had heard of something, where a “Not sure” response is effectively equivalent to “No” for the purposes of policy design.</w:t>
      </w:r>
      <w:r w:rsidR="00645C01">
        <w:t xml:space="preserve"> </w:t>
      </w:r>
    </w:p>
    <w:p w14:paraId="4686BA18" w14:textId="15968DCA" w:rsidR="00B06163" w:rsidRDefault="005C59D4" w:rsidP="009C71FE">
      <w:pPr>
        <w:pStyle w:val="DeptBullets"/>
        <w:numPr>
          <w:ilvl w:val="0"/>
          <w:numId w:val="0"/>
        </w:numPr>
        <w:sectPr w:rsidR="00B06163">
          <w:pgSz w:w="11906" w:h="16838"/>
          <w:pgMar w:top="1440" w:right="1800" w:bottom="1440" w:left="1800" w:header="708" w:footer="708" w:gutter="0"/>
          <w:cols w:space="708"/>
          <w:docGrid w:linePitch="360"/>
        </w:sectPr>
      </w:pPr>
      <w:r>
        <w:t xml:space="preserve">For variables with less regular response options, response options were grouped on a case-by-case basis, based on a judgement on which groupings were most likely to produce insights. Low response rates from certain groups meant that it was not possible to give all demographic options the same level of analysis. For example, our comparative gender analysis compares male and female respondents, and does </w:t>
      </w:r>
      <w:r w:rsidR="00862556">
        <w:t xml:space="preserve">not </w:t>
      </w:r>
      <w:r>
        <w:t>include those who provided a</w:t>
      </w:r>
      <w:r w:rsidR="00AE4B90">
        <w:t xml:space="preserve"> different</w:t>
      </w:r>
      <w:r>
        <w:t xml:space="preserve"> description of their gender (</w:t>
      </w:r>
      <w:proofErr w:type="spellStart"/>
      <w:r w:rsidR="009044D7">
        <w:t>eg</w:t>
      </w:r>
      <w:proofErr w:type="spellEnd"/>
      <w:r w:rsidR="00EB1D5D">
        <w:t>,</w:t>
      </w:r>
      <w:r>
        <w:t xml:space="preserve"> non-binary), as the numbers who provided such a response</w:t>
      </w:r>
      <w:r w:rsidR="008D2907">
        <w:t xml:space="preserve"> were too low </w:t>
      </w:r>
      <w:r w:rsidR="00AE4B90">
        <w:t xml:space="preserve">in our sample </w:t>
      </w:r>
      <w:r w:rsidR="008D2907">
        <w:t>for a meaningful analysis</w:t>
      </w:r>
      <w:r w:rsidR="00EA719E">
        <w:t>.</w:t>
      </w:r>
      <w:r w:rsidR="008D2907">
        <w:t xml:space="preserve"> Similarly, a limited number </w:t>
      </w:r>
      <w:r w:rsidR="00FE126D">
        <w:t xml:space="preserve">from </w:t>
      </w:r>
      <w:r w:rsidR="00813893">
        <w:t>ethnic minority</w:t>
      </w:r>
      <w:r w:rsidR="008D2907">
        <w:t xml:space="preserve"> </w:t>
      </w:r>
      <w:r w:rsidR="00FE126D">
        <w:t>groups</w:t>
      </w:r>
      <w:r w:rsidR="008D2907">
        <w:t xml:space="preserve"> </w:t>
      </w:r>
      <w:r w:rsidR="00813893">
        <w:t xml:space="preserve">(both including and excluding </w:t>
      </w:r>
      <w:r w:rsidR="00FE126D">
        <w:t xml:space="preserve">White minorities) </w:t>
      </w:r>
      <w:r w:rsidR="008D2907">
        <w:t xml:space="preserve">meant that ethnicity analysis was grouped into </w:t>
      </w:r>
      <w:r w:rsidR="00FE126D">
        <w:t>White (including White minorities)</w:t>
      </w:r>
      <w:r w:rsidR="00EA719E">
        <w:t xml:space="preserve"> vs</w:t>
      </w:r>
      <w:r w:rsidR="00FE126D">
        <w:t xml:space="preserve"> ethnic minorities (</w:t>
      </w:r>
      <w:r w:rsidR="00DD44F4">
        <w:t>excluding White minorities)</w:t>
      </w:r>
      <w:r w:rsidR="00EA719E">
        <w:t>. More focused research is needed to better understand the experiences of non-binary apprentices, as well as those belonging to less well represented ethnic groups, and other demographic groups not effectively represented by this survey.</w:t>
      </w:r>
    </w:p>
    <w:p w14:paraId="47A95FA0" w14:textId="7FD3551B" w:rsidR="00EA719E" w:rsidRDefault="00EA719E" w:rsidP="009C71FE">
      <w:pPr>
        <w:pStyle w:val="DeptBullets"/>
        <w:numPr>
          <w:ilvl w:val="0"/>
          <w:numId w:val="0"/>
        </w:numPr>
      </w:pPr>
      <w:r>
        <w:lastRenderedPageBreak/>
        <w:t xml:space="preserve">Table 1 – Grouping </w:t>
      </w:r>
      <w:r w:rsidR="00533B53">
        <w:t>v</w:t>
      </w:r>
      <w:r>
        <w:t>ariables</w:t>
      </w:r>
    </w:p>
    <w:tbl>
      <w:tblPr>
        <w:tblW w:w="5000" w:type="pct"/>
        <w:tblLook w:val="04A0" w:firstRow="1" w:lastRow="0" w:firstColumn="1" w:lastColumn="0" w:noHBand="0" w:noVBand="1"/>
      </w:tblPr>
      <w:tblGrid>
        <w:gridCol w:w="5542"/>
        <w:gridCol w:w="3297"/>
        <w:gridCol w:w="5109"/>
      </w:tblGrid>
      <w:tr w:rsidR="00C57A1E" w:rsidRPr="00C57A1E" w14:paraId="5242693F" w14:textId="77777777" w:rsidTr="00C57A1E">
        <w:trPr>
          <w:trHeight w:val="300"/>
        </w:trPr>
        <w:tc>
          <w:tcPr>
            <w:tcW w:w="20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F574" w14:textId="77777777" w:rsidR="00C57A1E" w:rsidRPr="00C57A1E" w:rsidRDefault="00C57A1E" w:rsidP="009C71FE">
            <w:pPr>
              <w:widowControl/>
              <w:overflowPunct/>
              <w:autoSpaceDE/>
              <w:autoSpaceDN/>
              <w:adjustRightInd/>
              <w:textAlignment w:val="auto"/>
              <w:rPr>
                <w:rFonts w:ascii="Calibri" w:hAnsi="Calibri" w:cs="Calibri"/>
                <w:b/>
                <w:bCs/>
                <w:color w:val="000000"/>
                <w:sz w:val="22"/>
                <w:szCs w:val="22"/>
                <w:lang w:eastAsia="en-GB"/>
              </w:rPr>
            </w:pPr>
            <w:r w:rsidRPr="00C57A1E">
              <w:rPr>
                <w:rFonts w:ascii="Calibri" w:hAnsi="Calibri" w:cs="Calibri"/>
                <w:b/>
                <w:bCs/>
                <w:color w:val="000000"/>
                <w:sz w:val="22"/>
                <w:szCs w:val="22"/>
                <w:lang w:eastAsia="en-GB"/>
              </w:rPr>
              <w:t>Question</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14:paraId="489D241A" w14:textId="4AF08151" w:rsidR="00C57A1E" w:rsidRPr="00C57A1E" w:rsidRDefault="00C57A1E" w:rsidP="009C71FE">
            <w:pPr>
              <w:widowControl/>
              <w:overflowPunct/>
              <w:autoSpaceDE/>
              <w:autoSpaceDN/>
              <w:adjustRightInd/>
              <w:textAlignment w:val="auto"/>
              <w:rPr>
                <w:rFonts w:ascii="Calibri" w:hAnsi="Calibri" w:cs="Calibri"/>
                <w:b/>
                <w:bCs/>
                <w:color w:val="000000"/>
                <w:sz w:val="22"/>
                <w:szCs w:val="22"/>
                <w:lang w:eastAsia="en-GB"/>
              </w:rPr>
            </w:pPr>
            <w:r w:rsidRPr="00C57A1E">
              <w:rPr>
                <w:rFonts w:ascii="Calibri" w:hAnsi="Calibri" w:cs="Calibri"/>
                <w:b/>
                <w:bCs/>
                <w:color w:val="000000"/>
                <w:sz w:val="22"/>
                <w:szCs w:val="22"/>
                <w:lang w:eastAsia="en-GB"/>
              </w:rPr>
              <w:t>Group 1 - Responses</w:t>
            </w:r>
          </w:p>
        </w:tc>
        <w:tc>
          <w:tcPr>
            <w:tcW w:w="1865" w:type="pct"/>
            <w:tcBorders>
              <w:top w:val="single" w:sz="4" w:space="0" w:color="auto"/>
              <w:left w:val="nil"/>
              <w:bottom w:val="single" w:sz="4" w:space="0" w:color="auto"/>
              <w:right w:val="single" w:sz="4" w:space="0" w:color="auto"/>
            </w:tcBorders>
            <w:shd w:val="clear" w:color="auto" w:fill="auto"/>
            <w:noWrap/>
            <w:vAlign w:val="bottom"/>
            <w:hideMark/>
          </w:tcPr>
          <w:p w14:paraId="4F7EE5CA" w14:textId="77777777" w:rsidR="00C57A1E" w:rsidRPr="00C57A1E" w:rsidRDefault="00C57A1E" w:rsidP="009C71FE">
            <w:pPr>
              <w:widowControl/>
              <w:overflowPunct/>
              <w:autoSpaceDE/>
              <w:autoSpaceDN/>
              <w:adjustRightInd/>
              <w:textAlignment w:val="auto"/>
              <w:rPr>
                <w:rFonts w:ascii="Calibri" w:hAnsi="Calibri" w:cs="Calibri"/>
                <w:b/>
                <w:bCs/>
                <w:color w:val="000000"/>
                <w:sz w:val="22"/>
                <w:szCs w:val="22"/>
                <w:lang w:eastAsia="en-GB"/>
              </w:rPr>
            </w:pPr>
            <w:r w:rsidRPr="00C57A1E">
              <w:rPr>
                <w:rFonts w:ascii="Calibri" w:hAnsi="Calibri" w:cs="Calibri"/>
                <w:b/>
                <w:bCs/>
                <w:color w:val="000000"/>
                <w:sz w:val="22"/>
                <w:szCs w:val="22"/>
                <w:lang w:eastAsia="en-GB"/>
              </w:rPr>
              <w:t>Group 2 - Responses</w:t>
            </w:r>
          </w:p>
        </w:tc>
      </w:tr>
      <w:tr w:rsidR="00C57A1E" w:rsidRPr="00C57A1E" w14:paraId="317420BF" w14:textId="77777777" w:rsidTr="00C57A1E">
        <w:trPr>
          <w:trHeight w:val="27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2CD36087"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Do you consider yourself to have a disability?</w:t>
            </w:r>
          </w:p>
        </w:tc>
        <w:tc>
          <w:tcPr>
            <w:tcW w:w="1110" w:type="pct"/>
            <w:tcBorders>
              <w:top w:val="nil"/>
              <w:left w:val="nil"/>
              <w:bottom w:val="single" w:sz="4" w:space="0" w:color="auto"/>
              <w:right w:val="single" w:sz="4" w:space="0" w:color="auto"/>
            </w:tcBorders>
            <w:shd w:val="clear" w:color="auto" w:fill="auto"/>
            <w:noWrap/>
            <w:vAlign w:val="bottom"/>
            <w:hideMark/>
          </w:tcPr>
          <w:p w14:paraId="442AE167"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Yes</w:t>
            </w:r>
          </w:p>
        </w:tc>
        <w:tc>
          <w:tcPr>
            <w:tcW w:w="1865" w:type="pct"/>
            <w:tcBorders>
              <w:top w:val="nil"/>
              <w:left w:val="nil"/>
              <w:bottom w:val="single" w:sz="4" w:space="0" w:color="auto"/>
              <w:right w:val="single" w:sz="4" w:space="0" w:color="auto"/>
            </w:tcBorders>
            <w:shd w:val="clear" w:color="auto" w:fill="auto"/>
            <w:noWrap/>
            <w:vAlign w:val="bottom"/>
            <w:hideMark/>
          </w:tcPr>
          <w:p w14:paraId="3C15F566"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No</w:t>
            </w:r>
          </w:p>
        </w:tc>
      </w:tr>
      <w:tr w:rsidR="00C57A1E" w:rsidRPr="00C57A1E" w14:paraId="0B536A29" w14:textId="77777777" w:rsidTr="00C57A1E">
        <w:trPr>
          <w:trHeight w:val="27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4F191F4B"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What is your age?</w:t>
            </w:r>
          </w:p>
        </w:tc>
        <w:tc>
          <w:tcPr>
            <w:tcW w:w="1110" w:type="pct"/>
            <w:tcBorders>
              <w:top w:val="nil"/>
              <w:left w:val="nil"/>
              <w:bottom w:val="single" w:sz="4" w:space="0" w:color="auto"/>
              <w:right w:val="single" w:sz="4" w:space="0" w:color="auto"/>
            </w:tcBorders>
            <w:shd w:val="clear" w:color="auto" w:fill="auto"/>
            <w:noWrap/>
            <w:vAlign w:val="bottom"/>
            <w:hideMark/>
          </w:tcPr>
          <w:p w14:paraId="11D26D45"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16-18, 19 -21</w:t>
            </w:r>
          </w:p>
        </w:tc>
        <w:tc>
          <w:tcPr>
            <w:tcW w:w="1865" w:type="pct"/>
            <w:tcBorders>
              <w:top w:val="nil"/>
              <w:left w:val="nil"/>
              <w:bottom w:val="single" w:sz="4" w:space="0" w:color="auto"/>
              <w:right w:val="single" w:sz="4" w:space="0" w:color="auto"/>
            </w:tcBorders>
            <w:shd w:val="clear" w:color="auto" w:fill="auto"/>
            <w:noWrap/>
            <w:vAlign w:val="bottom"/>
            <w:hideMark/>
          </w:tcPr>
          <w:p w14:paraId="50B6AE8E"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22-25, 26-35, 36-45, 46-55, 56-65, 66+</w:t>
            </w:r>
          </w:p>
        </w:tc>
      </w:tr>
      <w:tr w:rsidR="00C57A1E" w:rsidRPr="00C57A1E" w14:paraId="3CBDDBEF" w14:textId="77777777" w:rsidTr="00C57A1E">
        <w:trPr>
          <w:trHeight w:val="27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1A1C61F1"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What is your ethnic group?</w:t>
            </w:r>
          </w:p>
        </w:tc>
        <w:tc>
          <w:tcPr>
            <w:tcW w:w="1110" w:type="pct"/>
            <w:tcBorders>
              <w:top w:val="nil"/>
              <w:left w:val="nil"/>
              <w:bottom w:val="single" w:sz="4" w:space="0" w:color="auto"/>
              <w:right w:val="single" w:sz="4" w:space="0" w:color="auto"/>
            </w:tcBorders>
            <w:shd w:val="clear" w:color="auto" w:fill="auto"/>
            <w:noWrap/>
            <w:vAlign w:val="bottom"/>
            <w:hideMark/>
          </w:tcPr>
          <w:p w14:paraId="4DE6131F" w14:textId="047E74DE" w:rsidR="00C57A1E" w:rsidRPr="00C57A1E" w:rsidRDefault="00862556" w:rsidP="009C71FE">
            <w:pPr>
              <w:widowControl/>
              <w:overflowPunct/>
              <w:autoSpaceDE/>
              <w:autoSpaceDN/>
              <w:adjustRightInd/>
              <w:textAlignment w:val="auto"/>
              <w:rPr>
                <w:rFonts w:ascii="Calibri" w:hAnsi="Calibri" w:cs="Calibri"/>
                <w:color w:val="000000"/>
                <w:sz w:val="22"/>
                <w:szCs w:val="22"/>
                <w:lang w:eastAsia="en-GB"/>
              </w:rPr>
            </w:pPr>
            <w:r w:rsidRPr="00862556">
              <w:rPr>
                <w:rFonts w:ascii="Calibri" w:hAnsi="Calibri" w:cs="Calibri"/>
                <w:color w:val="000000"/>
                <w:sz w:val="22"/>
                <w:szCs w:val="22"/>
                <w:lang w:eastAsia="en-GB"/>
              </w:rPr>
              <w:t>White (including White minorities)</w:t>
            </w:r>
          </w:p>
        </w:tc>
        <w:tc>
          <w:tcPr>
            <w:tcW w:w="1865" w:type="pct"/>
            <w:tcBorders>
              <w:top w:val="nil"/>
              <w:left w:val="nil"/>
              <w:bottom w:val="single" w:sz="4" w:space="0" w:color="auto"/>
              <w:right w:val="single" w:sz="4" w:space="0" w:color="auto"/>
            </w:tcBorders>
            <w:shd w:val="clear" w:color="auto" w:fill="auto"/>
            <w:noWrap/>
            <w:vAlign w:val="bottom"/>
            <w:hideMark/>
          </w:tcPr>
          <w:p w14:paraId="0E786B6D" w14:textId="79756964" w:rsidR="00C57A1E" w:rsidRPr="00C57A1E" w:rsidRDefault="00862556" w:rsidP="009C71FE">
            <w:pPr>
              <w:widowControl/>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E</w:t>
            </w:r>
            <w:r w:rsidRPr="00862556">
              <w:rPr>
                <w:rFonts w:ascii="Calibri" w:hAnsi="Calibri" w:cs="Calibri"/>
                <w:color w:val="000000"/>
                <w:sz w:val="22"/>
                <w:szCs w:val="22"/>
                <w:lang w:eastAsia="en-GB"/>
              </w:rPr>
              <w:t>thnic minorities (excluding White minorities)</w:t>
            </w:r>
          </w:p>
        </w:tc>
      </w:tr>
      <w:tr w:rsidR="00C57A1E" w:rsidRPr="00C57A1E" w14:paraId="41D62195" w14:textId="77777777" w:rsidTr="00C57A1E">
        <w:trPr>
          <w:trHeight w:val="27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5AAB4786"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What is your religion?</w:t>
            </w:r>
          </w:p>
        </w:tc>
        <w:tc>
          <w:tcPr>
            <w:tcW w:w="1110" w:type="pct"/>
            <w:tcBorders>
              <w:top w:val="nil"/>
              <w:left w:val="nil"/>
              <w:bottom w:val="single" w:sz="4" w:space="0" w:color="auto"/>
              <w:right w:val="single" w:sz="4" w:space="0" w:color="auto"/>
            </w:tcBorders>
            <w:shd w:val="clear" w:color="auto" w:fill="auto"/>
            <w:noWrap/>
            <w:vAlign w:val="bottom"/>
            <w:hideMark/>
          </w:tcPr>
          <w:p w14:paraId="77E3C880"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No religion, Christian </w:t>
            </w:r>
          </w:p>
        </w:tc>
        <w:tc>
          <w:tcPr>
            <w:tcW w:w="1865" w:type="pct"/>
            <w:tcBorders>
              <w:top w:val="nil"/>
              <w:left w:val="nil"/>
              <w:bottom w:val="single" w:sz="4" w:space="0" w:color="auto"/>
              <w:right w:val="single" w:sz="4" w:space="0" w:color="auto"/>
            </w:tcBorders>
            <w:shd w:val="clear" w:color="auto" w:fill="auto"/>
            <w:noWrap/>
            <w:vAlign w:val="bottom"/>
            <w:hideMark/>
          </w:tcPr>
          <w:p w14:paraId="788FDB1F" w14:textId="5315D2AF"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All other religions</w:t>
            </w:r>
            <w:r>
              <w:rPr>
                <w:rFonts w:ascii="Calibri" w:hAnsi="Calibri" w:cs="Calibri"/>
                <w:color w:val="000000"/>
                <w:sz w:val="22"/>
                <w:szCs w:val="22"/>
                <w:lang w:eastAsia="en-GB"/>
              </w:rPr>
              <w:t xml:space="preserve"> (see data tables for full list)</w:t>
            </w:r>
          </w:p>
        </w:tc>
      </w:tr>
      <w:tr w:rsidR="00C57A1E" w:rsidRPr="00C57A1E" w14:paraId="7EA95410" w14:textId="77777777" w:rsidTr="00C57A1E">
        <w:trPr>
          <w:trHeight w:val="27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4ED32B91"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What best describes your gender?</w:t>
            </w:r>
          </w:p>
        </w:tc>
        <w:tc>
          <w:tcPr>
            <w:tcW w:w="1110" w:type="pct"/>
            <w:tcBorders>
              <w:top w:val="nil"/>
              <w:left w:val="nil"/>
              <w:bottom w:val="single" w:sz="4" w:space="0" w:color="auto"/>
              <w:right w:val="single" w:sz="4" w:space="0" w:color="auto"/>
            </w:tcBorders>
            <w:shd w:val="clear" w:color="auto" w:fill="auto"/>
            <w:noWrap/>
            <w:vAlign w:val="bottom"/>
            <w:hideMark/>
          </w:tcPr>
          <w:p w14:paraId="163B3CBC"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Female</w:t>
            </w:r>
          </w:p>
        </w:tc>
        <w:tc>
          <w:tcPr>
            <w:tcW w:w="1865" w:type="pct"/>
            <w:tcBorders>
              <w:top w:val="nil"/>
              <w:left w:val="nil"/>
              <w:bottom w:val="single" w:sz="4" w:space="0" w:color="auto"/>
              <w:right w:val="single" w:sz="4" w:space="0" w:color="auto"/>
            </w:tcBorders>
            <w:shd w:val="clear" w:color="auto" w:fill="auto"/>
            <w:noWrap/>
            <w:vAlign w:val="bottom"/>
            <w:hideMark/>
          </w:tcPr>
          <w:p w14:paraId="7995B0B7"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Male</w:t>
            </w:r>
          </w:p>
        </w:tc>
      </w:tr>
      <w:tr w:rsidR="00C57A1E" w:rsidRPr="00C57A1E" w14:paraId="6FF51BD4"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6B8588FA"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Roughly how many people work at your employer?</w:t>
            </w:r>
          </w:p>
        </w:tc>
        <w:tc>
          <w:tcPr>
            <w:tcW w:w="1110" w:type="pct"/>
            <w:tcBorders>
              <w:top w:val="nil"/>
              <w:left w:val="nil"/>
              <w:bottom w:val="single" w:sz="4" w:space="0" w:color="auto"/>
              <w:right w:val="single" w:sz="4" w:space="0" w:color="auto"/>
            </w:tcBorders>
            <w:shd w:val="clear" w:color="auto" w:fill="auto"/>
            <w:noWrap/>
            <w:vAlign w:val="bottom"/>
            <w:hideMark/>
          </w:tcPr>
          <w:p w14:paraId="7CE4CAF0"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10 or less, 11-50, 51-250</w:t>
            </w:r>
          </w:p>
        </w:tc>
        <w:tc>
          <w:tcPr>
            <w:tcW w:w="1865" w:type="pct"/>
            <w:tcBorders>
              <w:top w:val="nil"/>
              <w:left w:val="nil"/>
              <w:bottom w:val="single" w:sz="4" w:space="0" w:color="auto"/>
              <w:right w:val="single" w:sz="4" w:space="0" w:color="auto"/>
            </w:tcBorders>
            <w:shd w:val="clear" w:color="auto" w:fill="auto"/>
            <w:noWrap/>
            <w:vAlign w:val="bottom"/>
            <w:hideMark/>
          </w:tcPr>
          <w:p w14:paraId="704A5D95"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251 or more</w:t>
            </w:r>
          </w:p>
        </w:tc>
      </w:tr>
      <w:tr w:rsidR="00C57A1E" w:rsidRPr="00C57A1E" w14:paraId="60605ACE"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29399A37"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What level is your apprenticeship?</w:t>
            </w:r>
          </w:p>
        </w:tc>
        <w:tc>
          <w:tcPr>
            <w:tcW w:w="1110" w:type="pct"/>
            <w:tcBorders>
              <w:top w:val="nil"/>
              <w:left w:val="nil"/>
              <w:bottom w:val="single" w:sz="4" w:space="0" w:color="auto"/>
              <w:right w:val="single" w:sz="4" w:space="0" w:color="auto"/>
            </w:tcBorders>
            <w:shd w:val="clear" w:color="auto" w:fill="auto"/>
            <w:noWrap/>
            <w:vAlign w:val="bottom"/>
            <w:hideMark/>
          </w:tcPr>
          <w:p w14:paraId="21DDEFBF"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6, 7</w:t>
            </w:r>
          </w:p>
        </w:tc>
        <w:tc>
          <w:tcPr>
            <w:tcW w:w="1865" w:type="pct"/>
            <w:tcBorders>
              <w:top w:val="nil"/>
              <w:left w:val="nil"/>
              <w:bottom w:val="single" w:sz="4" w:space="0" w:color="auto"/>
              <w:right w:val="single" w:sz="4" w:space="0" w:color="auto"/>
            </w:tcBorders>
            <w:shd w:val="clear" w:color="auto" w:fill="auto"/>
            <w:noWrap/>
            <w:vAlign w:val="bottom"/>
            <w:hideMark/>
          </w:tcPr>
          <w:p w14:paraId="5A433BF7"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2, 3, 4, 5</w:t>
            </w:r>
          </w:p>
        </w:tc>
      </w:tr>
      <w:tr w:rsidR="00C57A1E" w:rsidRPr="00C57A1E" w14:paraId="046447F4"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6B887623" w14:textId="067820B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Which of the following best describes the route or sector your apprenticeship relates </w:t>
            </w:r>
            <w:r w:rsidR="00261DEA" w:rsidRPr="00C57A1E">
              <w:rPr>
                <w:rFonts w:ascii="Calibri" w:hAnsi="Calibri" w:cs="Calibri"/>
                <w:color w:val="000000"/>
                <w:sz w:val="22"/>
                <w:szCs w:val="22"/>
                <w:lang w:eastAsia="en-GB"/>
              </w:rPr>
              <w:t>to?</w:t>
            </w:r>
            <w:r w:rsidR="00261DEA">
              <w:rPr>
                <w:rFonts w:ascii="Calibri" w:hAnsi="Calibri" w:cs="Calibri"/>
                <w:color w:val="000000"/>
                <w:sz w:val="22"/>
                <w:szCs w:val="22"/>
                <w:lang w:eastAsia="en-GB"/>
              </w:rPr>
              <w:t xml:space="preserve"> *</w:t>
            </w:r>
          </w:p>
        </w:tc>
        <w:tc>
          <w:tcPr>
            <w:tcW w:w="1110" w:type="pct"/>
            <w:tcBorders>
              <w:top w:val="nil"/>
              <w:left w:val="nil"/>
              <w:bottom w:val="single" w:sz="4" w:space="0" w:color="auto"/>
              <w:right w:val="single" w:sz="4" w:space="0" w:color="auto"/>
            </w:tcBorders>
            <w:shd w:val="clear" w:color="auto" w:fill="auto"/>
            <w:noWrap/>
            <w:vAlign w:val="bottom"/>
            <w:hideMark/>
          </w:tcPr>
          <w:p w14:paraId="6D290CBB" w14:textId="17C3DDBD"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Business </w:t>
            </w:r>
            <w:r w:rsidR="00533B53">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533B53">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533B53">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c>
          <w:tcPr>
            <w:tcW w:w="1865" w:type="pct"/>
            <w:tcBorders>
              <w:top w:val="nil"/>
              <w:left w:val="nil"/>
              <w:bottom w:val="single" w:sz="4" w:space="0" w:color="auto"/>
              <w:right w:val="single" w:sz="4" w:space="0" w:color="auto"/>
            </w:tcBorders>
            <w:shd w:val="clear" w:color="auto" w:fill="auto"/>
            <w:noWrap/>
            <w:vAlign w:val="bottom"/>
            <w:hideMark/>
          </w:tcPr>
          <w:p w14:paraId="5ADA510D" w14:textId="2714CD41"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People </w:t>
            </w:r>
            <w:r w:rsidR="00641847">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Pr="00C57A1E">
              <w:rPr>
                <w:rFonts w:ascii="Calibri" w:hAnsi="Calibri" w:cs="Calibri"/>
                <w:color w:val="000000"/>
                <w:sz w:val="22"/>
                <w:szCs w:val="22"/>
                <w:lang w:eastAsia="en-GB"/>
              </w:rPr>
              <w:t xml:space="preserve">roup, </w:t>
            </w:r>
            <w:r w:rsidR="00641847">
              <w:rPr>
                <w:rFonts w:ascii="Calibri" w:hAnsi="Calibri" w:cs="Calibri"/>
                <w:color w:val="000000"/>
                <w:sz w:val="22"/>
                <w:szCs w:val="22"/>
                <w:lang w:eastAsia="en-GB"/>
              </w:rPr>
              <w:t>e</w:t>
            </w:r>
            <w:r w:rsidRPr="00C57A1E">
              <w:rPr>
                <w:rFonts w:ascii="Calibri" w:hAnsi="Calibri" w:cs="Calibri"/>
                <w:color w:val="000000"/>
                <w:sz w:val="22"/>
                <w:szCs w:val="22"/>
                <w:lang w:eastAsia="en-GB"/>
              </w:rPr>
              <w:t xml:space="preserve">ngineering </w:t>
            </w:r>
            <w:r w:rsidR="00641847">
              <w:rPr>
                <w:rFonts w:ascii="Calibri" w:hAnsi="Calibri" w:cs="Calibri"/>
                <w:color w:val="000000"/>
                <w:sz w:val="22"/>
                <w:szCs w:val="22"/>
                <w:lang w:eastAsia="en-GB"/>
              </w:rPr>
              <w:t>c</w:t>
            </w:r>
            <w:r w:rsidRPr="00C57A1E">
              <w:rPr>
                <w:rFonts w:ascii="Calibri" w:hAnsi="Calibri" w:cs="Calibri"/>
                <w:color w:val="000000"/>
                <w:sz w:val="22"/>
                <w:szCs w:val="22"/>
                <w:lang w:eastAsia="en-GB"/>
              </w:rPr>
              <w:t xml:space="preserve">onstruction and </w:t>
            </w:r>
            <w:r w:rsidR="00641847">
              <w:rPr>
                <w:rFonts w:ascii="Calibri" w:hAnsi="Calibri" w:cs="Calibri"/>
                <w:color w:val="000000"/>
                <w:sz w:val="22"/>
                <w:szCs w:val="22"/>
                <w:lang w:eastAsia="en-GB"/>
              </w:rPr>
              <w:t>t</w:t>
            </w:r>
            <w:r w:rsidRPr="00C57A1E">
              <w:rPr>
                <w:rFonts w:ascii="Calibri" w:hAnsi="Calibri" w:cs="Calibri"/>
                <w:color w:val="000000"/>
                <w:sz w:val="22"/>
                <w:szCs w:val="22"/>
                <w:lang w:eastAsia="en-GB"/>
              </w:rPr>
              <w:t xml:space="preserve">ransport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r>
      <w:tr w:rsidR="00C57A1E" w:rsidRPr="00C57A1E" w14:paraId="7BF1C41B"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16290228" w14:textId="1A3D5A7C"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Which of the following best describes the route or sector your apprenticeship relates </w:t>
            </w:r>
            <w:r w:rsidR="00261DEA" w:rsidRPr="00C57A1E">
              <w:rPr>
                <w:rFonts w:ascii="Calibri" w:hAnsi="Calibri" w:cs="Calibri"/>
                <w:color w:val="000000"/>
                <w:sz w:val="22"/>
                <w:szCs w:val="22"/>
                <w:lang w:eastAsia="en-GB"/>
              </w:rPr>
              <w:t>to?</w:t>
            </w:r>
            <w:r w:rsidR="00261DEA">
              <w:rPr>
                <w:rFonts w:ascii="Calibri" w:hAnsi="Calibri" w:cs="Calibri"/>
                <w:color w:val="000000"/>
                <w:sz w:val="22"/>
                <w:szCs w:val="22"/>
                <w:lang w:eastAsia="en-GB"/>
              </w:rPr>
              <w:t xml:space="preserve"> *</w:t>
            </w:r>
          </w:p>
        </w:tc>
        <w:tc>
          <w:tcPr>
            <w:tcW w:w="1110" w:type="pct"/>
            <w:tcBorders>
              <w:top w:val="nil"/>
              <w:left w:val="nil"/>
              <w:bottom w:val="single" w:sz="4" w:space="0" w:color="auto"/>
              <w:right w:val="single" w:sz="4" w:space="0" w:color="auto"/>
            </w:tcBorders>
            <w:shd w:val="clear" w:color="auto" w:fill="auto"/>
            <w:noWrap/>
            <w:vAlign w:val="bottom"/>
            <w:hideMark/>
          </w:tcPr>
          <w:p w14:paraId="3E4479F2" w14:textId="31646EAC"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People </w:t>
            </w:r>
            <w:r w:rsidR="00533B53">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533B53">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533B53">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c>
          <w:tcPr>
            <w:tcW w:w="1865" w:type="pct"/>
            <w:tcBorders>
              <w:top w:val="nil"/>
              <w:left w:val="nil"/>
              <w:bottom w:val="single" w:sz="4" w:space="0" w:color="auto"/>
              <w:right w:val="single" w:sz="4" w:space="0" w:color="auto"/>
            </w:tcBorders>
            <w:shd w:val="clear" w:color="auto" w:fill="auto"/>
            <w:noWrap/>
            <w:vAlign w:val="bottom"/>
            <w:hideMark/>
          </w:tcPr>
          <w:p w14:paraId="64070258" w14:textId="2079B8B3"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Business </w:t>
            </w:r>
            <w:r w:rsidR="00641847">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Pr="00C57A1E">
              <w:rPr>
                <w:rFonts w:ascii="Calibri" w:hAnsi="Calibri" w:cs="Calibri"/>
                <w:color w:val="000000"/>
                <w:sz w:val="22"/>
                <w:szCs w:val="22"/>
                <w:lang w:eastAsia="en-GB"/>
              </w:rPr>
              <w:t xml:space="preserve">roup, </w:t>
            </w:r>
            <w:r w:rsidR="00641847">
              <w:rPr>
                <w:rFonts w:ascii="Calibri" w:hAnsi="Calibri" w:cs="Calibri"/>
                <w:color w:val="000000"/>
                <w:sz w:val="22"/>
                <w:szCs w:val="22"/>
                <w:lang w:eastAsia="en-GB"/>
              </w:rPr>
              <w:t>e</w:t>
            </w:r>
            <w:r w:rsidRPr="00C57A1E">
              <w:rPr>
                <w:rFonts w:ascii="Calibri" w:hAnsi="Calibri" w:cs="Calibri"/>
                <w:color w:val="000000"/>
                <w:sz w:val="22"/>
                <w:szCs w:val="22"/>
                <w:lang w:eastAsia="en-GB"/>
              </w:rPr>
              <w:t>ngineering</w:t>
            </w:r>
            <w:r w:rsidR="00641847">
              <w:rPr>
                <w:rFonts w:ascii="Calibri" w:hAnsi="Calibri" w:cs="Calibri"/>
                <w:color w:val="000000"/>
                <w:sz w:val="22"/>
                <w:szCs w:val="22"/>
                <w:lang w:eastAsia="en-GB"/>
              </w:rPr>
              <w:t>,</w:t>
            </w:r>
            <w:r w:rsidRPr="00C57A1E">
              <w:rPr>
                <w:rFonts w:ascii="Calibri" w:hAnsi="Calibri" w:cs="Calibri"/>
                <w:color w:val="000000"/>
                <w:sz w:val="22"/>
                <w:szCs w:val="22"/>
                <w:lang w:eastAsia="en-GB"/>
              </w:rPr>
              <w:t xml:space="preserve"> </w:t>
            </w:r>
            <w:proofErr w:type="gramStart"/>
            <w:r w:rsidR="00641847">
              <w:rPr>
                <w:rFonts w:ascii="Calibri" w:hAnsi="Calibri" w:cs="Calibri"/>
                <w:color w:val="000000"/>
                <w:sz w:val="22"/>
                <w:szCs w:val="22"/>
                <w:lang w:eastAsia="en-GB"/>
              </w:rPr>
              <w:t>c</w:t>
            </w:r>
            <w:r w:rsidRPr="00C57A1E">
              <w:rPr>
                <w:rFonts w:ascii="Calibri" w:hAnsi="Calibri" w:cs="Calibri"/>
                <w:color w:val="000000"/>
                <w:sz w:val="22"/>
                <w:szCs w:val="22"/>
                <w:lang w:eastAsia="en-GB"/>
              </w:rPr>
              <w:t>onstruction</w:t>
            </w:r>
            <w:proofErr w:type="gramEnd"/>
            <w:r w:rsidRPr="00C57A1E">
              <w:rPr>
                <w:rFonts w:ascii="Calibri" w:hAnsi="Calibri" w:cs="Calibri"/>
                <w:color w:val="000000"/>
                <w:sz w:val="22"/>
                <w:szCs w:val="22"/>
                <w:lang w:eastAsia="en-GB"/>
              </w:rPr>
              <w:t xml:space="preserve"> and </w:t>
            </w:r>
            <w:r w:rsidR="00641847">
              <w:rPr>
                <w:rFonts w:ascii="Calibri" w:hAnsi="Calibri" w:cs="Calibri"/>
                <w:color w:val="000000"/>
                <w:sz w:val="22"/>
                <w:szCs w:val="22"/>
                <w:lang w:eastAsia="en-GB"/>
              </w:rPr>
              <w:t>t</w:t>
            </w:r>
            <w:r w:rsidRPr="00C57A1E">
              <w:rPr>
                <w:rFonts w:ascii="Calibri" w:hAnsi="Calibri" w:cs="Calibri"/>
                <w:color w:val="000000"/>
                <w:sz w:val="22"/>
                <w:szCs w:val="22"/>
                <w:lang w:eastAsia="en-GB"/>
              </w:rPr>
              <w:t xml:space="preserve">ransport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r>
      <w:tr w:rsidR="00C57A1E" w:rsidRPr="00C57A1E" w14:paraId="56EDA51A"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04FD2D5C" w14:textId="7D482BCF"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Which of the following best describes the route or sector your apprenticeship relates </w:t>
            </w:r>
            <w:r w:rsidR="00261DEA" w:rsidRPr="00C57A1E">
              <w:rPr>
                <w:rFonts w:ascii="Calibri" w:hAnsi="Calibri" w:cs="Calibri"/>
                <w:color w:val="000000"/>
                <w:sz w:val="22"/>
                <w:szCs w:val="22"/>
                <w:lang w:eastAsia="en-GB"/>
              </w:rPr>
              <w:t>to?</w:t>
            </w:r>
            <w:r w:rsidR="00261DEA">
              <w:rPr>
                <w:rFonts w:ascii="Calibri" w:hAnsi="Calibri" w:cs="Calibri"/>
                <w:color w:val="000000"/>
                <w:sz w:val="22"/>
                <w:szCs w:val="22"/>
                <w:lang w:eastAsia="en-GB"/>
              </w:rPr>
              <w:t xml:space="preserve"> *</w:t>
            </w:r>
          </w:p>
        </w:tc>
        <w:tc>
          <w:tcPr>
            <w:tcW w:w="1110" w:type="pct"/>
            <w:tcBorders>
              <w:top w:val="nil"/>
              <w:left w:val="nil"/>
              <w:bottom w:val="single" w:sz="4" w:space="0" w:color="auto"/>
              <w:right w:val="single" w:sz="4" w:space="0" w:color="auto"/>
            </w:tcBorders>
            <w:shd w:val="clear" w:color="auto" w:fill="auto"/>
            <w:noWrap/>
            <w:vAlign w:val="bottom"/>
            <w:hideMark/>
          </w:tcPr>
          <w:p w14:paraId="7FC1C51C" w14:textId="37F787B9"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Engineering</w:t>
            </w:r>
            <w:r w:rsidR="00533B53">
              <w:rPr>
                <w:rFonts w:ascii="Calibri" w:hAnsi="Calibri" w:cs="Calibri"/>
                <w:color w:val="000000"/>
                <w:sz w:val="22"/>
                <w:szCs w:val="22"/>
                <w:lang w:eastAsia="en-GB"/>
              </w:rPr>
              <w:t>,</w:t>
            </w:r>
            <w:r w:rsidRPr="00C57A1E">
              <w:rPr>
                <w:rFonts w:ascii="Calibri" w:hAnsi="Calibri" w:cs="Calibri"/>
                <w:color w:val="000000"/>
                <w:sz w:val="22"/>
                <w:szCs w:val="22"/>
                <w:lang w:eastAsia="en-GB"/>
              </w:rPr>
              <w:t xml:space="preserve"> </w:t>
            </w:r>
            <w:proofErr w:type="gramStart"/>
            <w:r w:rsidR="00533B53">
              <w:rPr>
                <w:rFonts w:ascii="Calibri" w:hAnsi="Calibri" w:cs="Calibri"/>
                <w:color w:val="000000"/>
                <w:sz w:val="22"/>
                <w:szCs w:val="22"/>
                <w:lang w:eastAsia="en-GB"/>
              </w:rPr>
              <w:t>c</w:t>
            </w:r>
            <w:r w:rsidRPr="00C57A1E">
              <w:rPr>
                <w:rFonts w:ascii="Calibri" w:hAnsi="Calibri" w:cs="Calibri"/>
                <w:color w:val="000000"/>
                <w:sz w:val="22"/>
                <w:szCs w:val="22"/>
                <w:lang w:eastAsia="en-GB"/>
              </w:rPr>
              <w:t>onstruction</w:t>
            </w:r>
            <w:proofErr w:type="gramEnd"/>
            <w:r w:rsidRPr="00C57A1E">
              <w:rPr>
                <w:rFonts w:ascii="Calibri" w:hAnsi="Calibri" w:cs="Calibri"/>
                <w:color w:val="000000"/>
                <w:sz w:val="22"/>
                <w:szCs w:val="22"/>
                <w:lang w:eastAsia="en-GB"/>
              </w:rPr>
              <w:t xml:space="preserve"> and </w:t>
            </w:r>
            <w:r w:rsidR="00533B53">
              <w:rPr>
                <w:rFonts w:ascii="Calibri" w:hAnsi="Calibri" w:cs="Calibri"/>
                <w:color w:val="000000"/>
                <w:sz w:val="22"/>
                <w:szCs w:val="22"/>
                <w:lang w:eastAsia="en-GB"/>
              </w:rPr>
              <w:t>t</w:t>
            </w:r>
            <w:r w:rsidRPr="00C57A1E">
              <w:rPr>
                <w:rFonts w:ascii="Calibri" w:hAnsi="Calibri" w:cs="Calibri"/>
                <w:color w:val="000000"/>
                <w:sz w:val="22"/>
                <w:szCs w:val="22"/>
                <w:lang w:eastAsia="en-GB"/>
              </w:rPr>
              <w:t xml:space="preserve">ransport </w:t>
            </w:r>
            <w:r w:rsidR="00533B53">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533B53">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c>
          <w:tcPr>
            <w:tcW w:w="1865" w:type="pct"/>
            <w:tcBorders>
              <w:top w:val="nil"/>
              <w:left w:val="nil"/>
              <w:bottom w:val="single" w:sz="4" w:space="0" w:color="auto"/>
              <w:right w:val="single" w:sz="4" w:space="0" w:color="auto"/>
            </w:tcBorders>
            <w:shd w:val="clear" w:color="auto" w:fill="auto"/>
            <w:noWrap/>
            <w:vAlign w:val="bottom"/>
            <w:hideMark/>
          </w:tcPr>
          <w:p w14:paraId="47B3C732" w14:textId="791C9E2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 xml:space="preserve">People </w:t>
            </w:r>
            <w:r w:rsidR="00641847">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00261DEA" w:rsidRPr="00C57A1E">
              <w:rPr>
                <w:rFonts w:ascii="Calibri" w:hAnsi="Calibri" w:cs="Calibri"/>
                <w:color w:val="000000"/>
                <w:sz w:val="22"/>
                <w:szCs w:val="22"/>
                <w:lang w:eastAsia="en-GB"/>
              </w:rPr>
              <w:t xml:space="preserve">roup, </w:t>
            </w:r>
            <w:r w:rsidR="00641847">
              <w:rPr>
                <w:rFonts w:ascii="Calibri" w:hAnsi="Calibri" w:cs="Calibri"/>
                <w:color w:val="000000"/>
                <w:sz w:val="22"/>
                <w:szCs w:val="22"/>
                <w:lang w:eastAsia="en-GB"/>
              </w:rPr>
              <w:t>b</w:t>
            </w:r>
            <w:r w:rsidR="00261DEA" w:rsidRPr="00C57A1E">
              <w:rPr>
                <w:rFonts w:ascii="Calibri" w:hAnsi="Calibri" w:cs="Calibri"/>
                <w:color w:val="000000"/>
                <w:sz w:val="22"/>
                <w:szCs w:val="22"/>
                <w:lang w:eastAsia="en-GB"/>
              </w:rPr>
              <w:t>usiness</w:t>
            </w:r>
            <w:r w:rsidRPr="00C57A1E">
              <w:rPr>
                <w:rFonts w:ascii="Calibri" w:hAnsi="Calibri" w:cs="Calibri"/>
                <w:color w:val="000000"/>
                <w:sz w:val="22"/>
                <w:szCs w:val="22"/>
                <w:lang w:eastAsia="en-GB"/>
              </w:rPr>
              <w:t xml:space="preserve"> </w:t>
            </w:r>
            <w:r w:rsidR="00641847">
              <w:rPr>
                <w:rFonts w:ascii="Calibri" w:hAnsi="Calibri" w:cs="Calibri"/>
                <w:color w:val="000000"/>
                <w:sz w:val="22"/>
                <w:szCs w:val="22"/>
                <w:lang w:eastAsia="en-GB"/>
              </w:rPr>
              <w:t>s</w:t>
            </w:r>
            <w:r w:rsidRPr="00C57A1E">
              <w:rPr>
                <w:rFonts w:ascii="Calibri" w:hAnsi="Calibri" w:cs="Calibri"/>
                <w:color w:val="000000"/>
                <w:sz w:val="22"/>
                <w:szCs w:val="22"/>
                <w:lang w:eastAsia="en-GB"/>
              </w:rPr>
              <w:t xml:space="preserve">ervices </w:t>
            </w:r>
            <w:r w:rsidR="00641847">
              <w:rPr>
                <w:rFonts w:ascii="Calibri" w:hAnsi="Calibri" w:cs="Calibri"/>
                <w:color w:val="000000"/>
                <w:sz w:val="22"/>
                <w:szCs w:val="22"/>
                <w:lang w:eastAsia="en-GB"/>
              </w:rPr>
              <w:t>r</w:t>
            </w:r>
            <w:r w:rsidRPr="00C57A1E">
              <w:rPr>
                <w:rFonts w:ascii="Calibri" w:hAnsi="Calibri" w:cs="Calibri"/>
                <w:color w:val="000000"/>
                <w:sz w:val="22"/>
                <w:szCs w:val="22"/>
                <w:lang w:eastAsia="en-GB"/>
              </w:rPr>
              <w:t xml:space="preserve">oute </w:t>
            </w:r>
            <w:r w:rsidR="00641847">
              <w:rPr>
                <w:rFonts w:ascii="Calibri" w:hAnsi="Calibri" w:cs="Calibri"/>
                <w:color w:val="000000"/>
                <w:sz w:val="22"/>
                <w:szCs w:val="22"/>
                <w:lang w:eastAsia="en-GB"/>
              </w:rPr>
              <w:t>g</w:t>
            </w:r>
            <w:r w:rsidRPr="00C57A1E">
              <w:rPr>
                <w:rFonts w:ascii="Calibri" w:hAnsi="Calibri" w:cs="Calibri"/>
                <w:color w:val="000000"/>
                <w:sz w:val="22"/>
                <w:szCs w:val="22"/>
                <w:lang w:eastAsia="en-GB"/>
              </w:rPr>
              <w:t>roup</w:t>
            </w:r>
          </w:p>
        </w:tc>
      </w:tr>
      <w:tr w:rsidR="00C57A1E" w:rsidRPr="00C57A1E" w14:paraId="672637B7"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hideMark/>
          </w:tcPr>
          <w:p w14:paraId="75E3AB69"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Which of the following best describes your sexual orientation?</w:t>
            </w:r>
          </w:p>
        </w:tc>
        <w:tc>
          <w:tcPr>
            <w:tcW w:w="1110" w:type="pct"/>
            <w:tcBorders>
              <w:top w:val="nil"/>
              <w:left w:val="nil"/>
              <w:bottom w:val="single" w:sz="4" w:space="0" w:color="auto"/>
              <w:right w:val="single" w:sz="4" w:space="0" w:color="auto"/>
            </w:tcBorders>
            <w:shd w:val="clear" w:color="auto" w:fill="auto"/>
            <w:noWrap/>
            <w:vAlign w:val="bottom"/>
            <w:hideMark/>
          </w:tcPr>
          <w:p w14:paraId="3A33DA99"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Straight / Heterosexual</w:t>
            </w:r>
          </w:p>
        </w:tc>
        <w:tc>
          <w:tcPr>
            <w:tcW w:w="1865" w:type="pct"/>
            <w:tcBorders>
              <w:top w:val="nil"/>
              <w:left w:val="nil"/>
              <w:bottom w:val="single" w:sz="4" w:space="0" w:color="auto"/>
              <w:right w:val="single" w:sz="4" w:space="0" w:color="auto"/>
            </w:tcBorders>
            <w:shd w:val="clear" w:color="auto" w:fill="auto"/>
            <w:noWrap/>
            <w:vAlign w:val="bottom"/>
            <w:hideMark/>
          </w:tcPr>
          <w:p w14:paraId="7255F85F"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Bisexual, Gay or Lesbian, Other sexual orientation</w:t>
            </w:r>
          </w:p>
        </w:tc>
      </w:tr>
      <w:tr w:rsidR="00C57A1E" w:rsidRPr="00C57A1E" w14:paraId="57EF854C" w14:textId="77777777" w:rsidTr="00C57A1E">
        <w:trPr>
          <w:trHeight w:val="300"/>
        </w:trPr>
        <w:tc>
          <w:tcPr>
            <w:tcW w:w="2025" w:type="pct"/>
            <w:tcBorders>
              <w:top w:val="nil"/>
              <w:left w:val="single" w:sz="4" w:space="0" w:color="auto"/>
              <w:bottom w:val="nil"/>
              <w:right w:val="single" w:sz="4" w:space="0" w:color="auto"/>
            </w:tcBorders>
            <w:shd w:val="clear" w:color="auto" w:fill="auto"/>
            <w:noWrap/>
            <w:vAlign w:val="bottom"/>
            <w:hideMark/>
          </w:tcPr>
          <w:p w14:paraId="40345434"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Which region of England is your apprenticeship based in?</w:t>
            </w:r>
          </w:p>
        </w:tc>
        <w:tc>
          <w:tcPr>
            <w:tcW w:w="1110" w:type="pct"/>
            <w:tcBorders>
              <w:top w:val="nil"/>
              <w:left w:val="nil"/>
              <w:bottom w:val="nil"/>
              <w:right w:val="single" w:sz="4" w:space="0" w:color="auto"/>
            </w:tcBorders>
            <w:shd w:val="clear" w:color="auto" w:fill="auto"/>
            <w:noWrap/>
            <w:vAlign w:val="bottom"/>
            <w:hideMark/>
          </w:tcPr>
          <w:p w14:paraId="328F17DF"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Greater London</w:t>
            </w:r>
          </w:p>
        </w:tc>
        <w:tc>
          <w:tcPr>
            <w:tcW w:w="1865" w:type="pct"/>
            <w:tcBorders>
              <w:top w:val="nil"/>
              <w:left w:val="nil"/>
              <w:bottom w:val="nil"/>
              <w:right w:val="single" w:sz="4" w:space="0" w:color="auto"/>
            </w:tcBorders>
            <w:shd w:val="clear" w:color="auto" w:fill="auto"/>
            <w:noWrap/>
            <w:vAlign w:val="bottom"/>
            <w:hideMark/>
          </w:tcPr>
          <w:p w14:paraId="36939CB4"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r w:rsidRPr="00C57A1E">
              <w:rPr>
                <w:rFonts w:ascii="Calibri" w:hAnsi="Calibri" w:cs="Calibri"/>
                <w:color w:val="000000"/>
                <w:sz w:val="22"/>
                <w:szCs w:val="22"/>
                <w:lang w:eastAsia="en-GB"/>
              </w:rPr>
              <w:t>All other English regions</w:t>
            </w:r>
          </w:p>
        </w:tc>
      </w:tr>
      <w:tr w:rsidR="00C57A1E" w:rsidRPr="00C57A1E" w14:paraId="079BED32" w14:textId="77777777" w:rsidTr="00C57A1E">
        <w:trPr>
          <w:trHeight w:val="300"/>
        </w:trPr>
        <w:tc>
          <w:tcPr>
            <w:tcW w:w="2025" w:type="pct"/>
            <w:tcBorders>
              <w:top w:val="nil"/>
              <w:left w:val="single" w:sz="4" w:space="0" w:color="auto"/>
              <w:bottom w:val="single" w:sz="4" w:space="0" w:color="auto"/>
              <w:right w:val="single" w:sz="4" w:space="0" w:color="auto"/>
            </w:tcBorders>
            <w:shd w:val="clear" w:color="auto" w:fill="auto"/>
            <w:noWrap/>
            <w:vAlign w:val="bottom"/>
          </w:tcPr>
          <w:p w14:paraId="4393A9F5" w14:textId="03E73BE3"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p>
        </w:tc>
        <w:tc>
          <w:tcPr>
            <w:tcW w:w="1110" w:type="pct"/>
            <w:tcBorders>
              <w:top w:val="nil"/>
              <w:left w:val="nil"/>
              <w:bottom w:val="single" w:sz="4" w:space="0" w:color="auto"/>
              <w:right w:val="single" w:sz="4" w:space="0" w:color="auto"/>
            </w:tcBorders>
            <w:shd w:val="clear" w:color="auto" w:fill="auto"/>
            <w:noWrap/>
            <w:vAlign w:val="bottom"/>
          </w:tcPr>
          <w:p w14:paraId="12EBFCE4"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p>
        </w:tc>
        <w:tc>
          <w:tcPr>
            <w:tcW w:w="1865" w:type="pct"/>
            <w:tcBorders>
              <w:top w:val="nil"/>
              <w:left w:val="nil"/>
              <w:bottom w:val="single" w:sz="4" w:space="0" w:color="auto"/>
              <w:right w:val="single" w:sz="4" w:space="0" w:color="auto"/>
            </w:tcBorders>
            <w:shd w:val="clear" w:color="auto" w:fill="auto"/>
            <w:noWrap/>
            <w:vAlign w:val="bottom"/>
          </w:tcPr>
          <w:p w14:paraId="025164FD" w14:textId="77777777" w:rsidR="00C57A1E" w:rsidRPr="00C57A1E" w:rsidRDefault="00C57A1E" w:rsidP="009C71FE">
            <w:pPr>
              <w:widowControl/>
              <w:overflowPunct/>
              <w:autoSpaceDE/>
              <w:autoSpaceDN/>
              <w:adjustRightInd/>
              <w:textAlignment w:val="auto"/>
              <w:rPr>
                <w:rFonts w:ascii="Calibri" w:hAnsi="Calibri" w:cs="Calibri"/>
                <w:color w:val="000000"/>
                <w:sz w:val="22"/>
                <w:szCs w:val="22"/>
                <w:lang w:eastAsia="en-GB"/>
              </w:rPr>
            </w:pPr>
          </w:p>
        </w:tc>
      </w:tr>
    </w:tbl>
    <w:p w14:paraId="00BDB65A" w14:textId="77777777" w:rsidR="00C57A1E" w:rsidRDefault="00C57A1E" w:rsidP="009C71FE">
      <w:pPr>
        <w:tabs>
          <w:tab w:val="left" w:pos="1830"/>
        </w:tabs>
      </w:pPr>
    </w:p>
    <w:p w14:paraId="10C72EB4" w14:textId="752E716D" w:rsidR="00C57A1E" w:rsidRPr="009C71FE" w:rsidRDefault="00C57A1E" w:rsidP="009C71FE">
      <w:pPr>
        <w:tabs>
          <w:tab w:val="left" w:pos="1830"/>
        </w:tabs>
        <w:rPr>
          <w:sz w:val="20"/>
        </w:rPr>
      </w:pPr>
      <w:r w:rsidRPr="009C71FE">
        <w:rPr>
          <w:sz w:val="20"/>
        </w:rPr>
        <w:t>* For the purposes of this analysis, occupational routes were clustered according to IfATE’s internal route groups. These are arranged as follows:</w:t>
      </w:r>
    </w:p>
    <w:p w14:paraId="4457700E" w14:textId="4F001850" w:rsidR="00C57A1E" w:rsidRPr="009C71FE" w:rsidRDefault="00C57A1E" w:rsidP="009C71FE">
      <w:pPr>
        <w:pStyle w:val="ListParagraph"/>
        <w:numPr>
          <w:ilvl w:val="0"/>
          <w:numId w:val="11"/>
        </w:numPr>
        <w:tabs>
          <w:tab w:val="left" w:pos="1830"/>
        </w:tabs>
        <w:rPr>
          <w:sz w:val="20"/>
        </w:rPr>
      </w:pPr>
      <w:r w:rsidRPr="009C71FE">
        <w:rPr>
          <w:b/>
          <w:bCs/>
          <w:sz w:val="20"/>
        </w:rPr>
        <w:t xml:space="preserve">Engineering, </w:t>
      </w:r>
      <w:proofErr w:type="gramStart"/>
      <w:r w:rsidR="000A27C6">
        <w:rPr>
          <w:b/>
          <w:bCs/>
          <w:sz w:val="20"/>
        </w:rPr>
        <w:t>c</w:t>
      </w:r>
      <w:r w:rsidRPr="009C71FE">
        <w:rPr>
          <w:b/>
          <w:bCs/>
          <w:sz w:val="20"/>
        </w:rPr>
        <w:t>onstruction</w:t>
      </w:r>
      <w:proofErr w:type="gramEnd"/>
      <w:r w:rsidRPr="009C71FE">
        <w:rPr>
          <w:b/>
          <w:bCs/>
          <w:sz w:val="20"/>
        </w:rPr>
        <w:t xml:space="preserve"> and </w:t>
      </w:r>
      <w:r w:rsidR="000A27C6">
        <w:rPr>
          <w:b/>
          <w:bCs/>
          <w:sz w:val="20"/>
        </w:rPr>
        <w:t>t</w:t>
      </w:r>
      <w:r w:rsidRPr="009C71FE">
        <w:rPr>
          <w:b/>
          <w:bCs/>
          <w:sz w:val="20"/>
        </w:rPr>
        <w:t>ransport</w:t>
      </w:r>
      <w:r w:rsidRPr="009C71FE">
        <w:rPr>
          <w:sz w:val="20"/>
        </w:rPr>
        <w:t xml:space="preserve"> covers the </w:t>
      </w:r>
      <w:r w:rsidR="000A27C6">
        <w:rPr>
          <w:sz w:val="20"/>
        </w:rPr>
        <w:t>e</w:t>
      </w:r>
      <w:r w:rsidRPr="009C71FE">
        <w:rPr>
          <w:sz w:val="20"/>
        </w:rPr>
        <w:t xml:space="preserve">ngineering and </w:t>
      </w:r>
      <w:r w:rsidR="000A27C6">
        <w:rPr>
          <w:sz w:val="20"/>
        </w:rPr>
        <w:t>m</w:t>
      </w:r>
      <w:r w:rsidRPr="009C71FE">
        <w:rPr>
          <w:sz w:val="20"/>
        </w:rPr>
        <w:t xml:space="preserve">anufacturing; </w:t>
      </w:r>
      <w:r w:rsidR="000A27C6">
        <w:rPr>
          <w:sz w:val="20"/>
        </w:rPr>
        <w:t>c</w:t>
      </w:r>
      <w:r w:rsidRPr="009C71FE">
        <w:rPr>
          <w:sz w:val="20"/>
        </w:rPr>
        <w:t xml:space="preserve">onstruction; and </w:t>
      </w:r>
      <w:r w:rsidR="000A27C6">
        <w:rPr>
          <w:sz w:val="20"/>
        </w:rPr>
        <w:t>t</w:t>
      </w:r>
      <w:r w:rsidRPr="009C71FE">
        <w:rPr>
          <w:sz w:val="20"/>
        </w:rPr>
        <w:t xml:space="preserve">ransport and </w:t>
      </w:r>
      <w:r w:rsidR="000A27C6">
        <w:rPr>
          <w:sz w:val="20"/>
        </w:rPr>
        <w:t>l</w:t>
      </w:r>
      <w:r w:rsidRPr="009C71FE">
        <w:rPr>
          <w:sz w:val="20"/>
        </w:rPr>
        <w:t>ogistics routes.</w:t>
      </w:r>
    </w:p>
    <w:p w14:paraId="6972998F" w14:textId="4E0B467C" w:rsidR="00C57A1E" w:rsidRPr="009C71FE" w:rsidRDefault="00C57A1E" w:rsidP="009C71FE">
      <w:pPr>
        <w:pStyle w:val="ListParagraph"/>
        <w:numPr>
          <w:ilvl w:val="0"/>
          <w:numId w:val="11"/>
        </w:numPr>
        <w:tabs>
          <w:tab w:val="left" w:pos="1830"/>
        </w:tabs>
        <w:rPr>
          <w:sz w:val="20"/>
        </w:rPr>
      </w:pPr>
      <w:r w:rsidRPr="009C71FE">
        <w:rPr>
          <w:b/>
          <w:bCs/>
          <w:sz w:val="20"/>
        </w:rPr>
        <w:t xml:space="preserve">Business </w:t>
      </w:r>
      <w:r w:rsidR="000A27C6">
        <w:rPr>
          <w:b/>
          <w:bCs/>
          <w:sz w:val="20"/>
        </w:rPr>
        <w:t>s</w:t>
      </w:r>
      <w:r w:rsidRPr="009C71FE">
        <w:rPr>
          <w:b/>
          <w:bCs/>
          <w:sz w:val="20"/>
        </w:rPr>
        <w:t>ervices</w:t>
      </w:r>
      <w:r w:rsidRPr="009C71FE">
        <w:rPr>
          <w:sz w:val="20"/>
        </w:rPr>
        <w:t xml:space="preserve"> covers the </w:t>
      </w:r>
      <w:r w:rsidR="000A27C6">
        <w:rPr>
          <w:sz w:val="20"/>
        </w:rPr>
        <w:t>b</w:t>
      </w:r>
      <w:r w:rsidRPr="009C71FE">
        <w:rPr>
          <w:sz w:val="20"/>
        </w:rPr>
        <w:t xml:space="preserve">usiness and </w:t>
      </w:r>
      <w:r w:rsidR="000A27C6">
        <w:rPr>
          <w:sz w:val="20"/>
        </w:rPr>
        <w:t>a</w:t>
      </w:r>
      <w:r w:rsidRPr="009C71FE">
        <w:rPr>
          <w:sz w:val="20"/>
        </w:rPr>
        <w:t xml:space="preserve">dministration; </w:t>
      </w:r>
      <w:r w:rsidR="000A27C6">
        <w:rPr>
          <w:sz w:val="20"/>
        </w:rPr>
        <w:t>d</w:t>
      </w:r>
      <w:r w:rsidRPr="009C71FE">
        <w:rPr>
          <w:sz w:val="20"/>
        </w:rPr>
        <w:t xml:space="preserve">igital; </w:t>
      </w:r>
      <w:r w:rsidR="000A27C6">
        <w:rPr>
          <w:sz w:val="20"/>
        </w:rPr>
        <w:t>l</w:t>
      </w:r>
      <w:r w:rsidRPr="009C71FE">
        <w:rPr>
          <w:sz w:val="20"/>
        </w:rPr>
        <w:t xml:space="preserve">egal, </w:t>
      </w:r>
      <w:r w:rsidR="000A27C6">
        <w:rPr>
          <w:sz w:val="20"/>
        </w:rPr>
        <w:t>f</w:t>
      </w:r>
      <w:r w:rsidRPr="009C71FE">
        <w:rPr>
          <w:sz w:val="20"/>
        </w:rPr>
        <w:t xml:space="preserve">inance and </w:t>
      </w:r>
      <w:r w:rsidR="000A27C6">
        <w:rPr>
          <w:sz w:val="20"/>
        </w:rPr>
        <w:t>a</w:t>
      </w:r>
      <w:r w:rsidRPr="009C71FE">
        <w:rPr>
          <w:sz w:val="20"/>
        </w:rPr>
        <w:t xml:space="preserve">ccounting; </w:t>
      </w:r>
      <w:r w:rsidR="000A27C6">
        <w:rPr>
          <w:sz w:val="20"/>
        </w:rPr>
        <w:t>s</w:t>
      </w:r>
      <w:r w:rsidRPr="009C71FE">
        <w:rPr>
          <w:sz w:val="20"/>
        </w:rPr>
        <w:t xml:space="preserve">ales, </w:t>
      </w:r>
      <w:proofErr w:type="gramStart"/>
      <w:r w:rsidR="000A27C6">
        <w:rPr>
          <w:sz w:val="20"/>
        </w:rPr>
        <w:t>m</w:t>
      </w:r>
      <w:r w:rsidRPr="009C71FE">
        <w:rPr>
          <w:sz w:val="20"/>
        </w:rPr>
        <w:t>arketing</w:t>
      </w:r>
      <w:proofErr w:type="gramEnd"/>
      <w:r w:rsidRPr="009C71FE">
        <w:rPr>
          <w:sz w:val="20"/>
        </w:rPr>
        <w:t xml:space="preserve"> and </w:t>
      </w:r>
      <w:r w:rsidR="000A27C6">
        <w:rPr>
          <w:sz w:val="20"/>
        </w:rPr>
        <w:t>p</w:t>
      </w:r>
      <w:r w:rsidRPr="009C71FE">
        <w:rPr>
          <w:sz w:val="20"/>
        </w:rPr>
        <w:t xml:space="preserve">rocurement; and </w:t>
      </w:r>
      <w:r w:rsidR="000A27C6">
        <w:rPr>
          <w:sz w:val="20"/>
        </w:rPr>
        <w:t>c</w:t>
      </w:r>
      <w:r w:rsidRPr="009C71FE">
        <w:rPr>
          <w:sz w:val="20"/>
        </w:rPr>
        <w:t xml:space="preserve">reative and </w:t>
      </w:r>
      <w:r w:rsidR="000A27C6">
        <w:rPr>
          <w:sz w:val="20"/>
        </w:rPr>
        <w:t>d</w:t>
      </w:r>
      <w:r w:rsidRPr="009C71FE">
        <w:rPr>
          <w:sz w:val="20"/>
        </w:rPr>
        <w:t>esign routes.</w:t>
      </w:r>
    </w:p>
    <w:p w14:paraId="4D9E0115" w14:textId="2711C641" w:rsidR="009C71FE" w:rsidRPr="009C71FE" w:rsidRDefault="00C57A1E" w:rsidP="009C71FE">
      <w:pPr>
        <w:pStyle w:val="ListParagraph"/>
        <w:numPr>
          <w:ilvl w:val="0"/>
          <w:numId w:val="11"/>
        </w:numPr>
        <w:tabs>
          <w:tab w:val="left" w:pos="1830"/>
        </w:tabs>
        <w:rPr>
          <w:sz w:val="20"/>
        </w:rPr>
        <w:sectPr w:rsidR="009C71FE" w:rsidRPr="009C71FE" w:rsidSect="009C71FE">
          <w:pgSz w:w="16838" w:h="11906" w:orient="landscape"/>
          <w:pgMar w:top="1800" w:right="1440" w:bottom="1800" w:left="1440" w:header="708" w:footer="708" w:gutter="0"/>
          <w:cols w:space="708"/>
          <w:docGrid w:linePitch="360"/>
        </w:sectPr>
      </w:pPr>
      <w:r w:rsidRPr="009C71FE">
        <w:rPr>
          <w:b/>
          <w:bCs/>
          <w:sz w:val="20"/>
        </w:rPr>
        <w:t xml:space="preserve">People </w:t>
      </w:r>
      <w:r w:rsidR="000A27C6">
        <w:rPr>
          <w:b/>
          <w:bCs/>
          <w:sz w:val="20"/>
        </w:rPr>
        <w:t>s</w:t>
      </w:r>
      <w:r w:rsidRPr="009C71FE">
        <w:rPr>
          <w:b/>
          <w:bCs/>
          <w:sz w:val="20"/>
        </w:rPr>
        <w:t>ervices</w:t>
      </w:r>
      <w:r w:rsidRPr="009C71FE">
        <w:rPr>
          <w:sz w:val="20"/>
        </w:rPr>
        <w:t xml:space="preserve"> covers the </w:t>
      </w:r>
      <w:r w:rsidR="000A27C6">
        <w:rPr>
          <w:sz w:val="20"/>
        </w:rPr>
        <w:t>a</w:t>
      </w:r>
      <w:r w:rsidRPr="009C71FE">
        <w:rPr>
          <w:sz w:val="20"/>
        </w:rPr>
        <w:t xml:space="preserve">griculture, </w:t>
      </w:r>
      <w:r w:rsidR="000A27C6">
        <w:rPr>
          <w:sz w:val="20"/>
        </w:rPr>
        <w:t>e</w:t>
      </w:r>
      <w:r w:rsidRPr="009C71FE">
        <w:rPr>
          <w:sz w:val="20"/>
        </w:rPr>
        <w:t xml:space="preserve">nvironmental and </w:t>
      </w:r>
      <w:r w:rsidR="000A27C6">
        <w:rPr>
          <w:sz w:val="20"/>
        </w:rPr>
        <w:t>a</w:t>
      </w:r>
      <w:r w:rsidRPr="009C71FE">
        <w:rPr>
          <w:sz w:val="20"/>
        </w:rPr>
        <w:t xml:space="preserve">nimal </w:t>
      </w:r>
      <w:r w:rsidR="000A27C6">
        <w:rPr>
          <w:sz w:val="20"/>
        </w:rPr>
        <w:t>c</w:t>
      </w:r>
      <w:r w:rsidRPr="009C71FE">
        <w:rPr>
          <w:sz w:val="20"/>
        </w:rPr>
        <w:t xml:space="preserve">are; </w:t>
      </w:r>
      <w:r w:rsidR="000A27C6">
        <w:rPr>
          <w:sz w:val="20"/>
        </w:rPr>
        <w:t>h</w:t>
      </w:r>
      <w:r w:rsidRPr="009C71FE">
        <w:rPr>
          <w:sz w:val="20"/>
        </w:rPr>
        <w:t xml:space="preserve">ealth and </w:t>
      </w:r>
      <w:r w:rsidR="000A27C6">
        <w:rPr>
          <w:sz w:val="20"/>
        </w:rPr>
        <w:t>s</w:t>
      </w:r>
      <w:r w:rsidRPr="009C71FE">
        <w:rPr>
          <w:sz w:val="20"/>
        </w:rPr>
        <w:t xml:space="preserve">cience; </w:t>
      </w:r>
      <w:r w:rsidR="000A27C6">
        <w:rPr>
          <w:sz w:val="20"/>
        </w:rPr>
        <w:t>c</w:t>
      </w:r>
      <w:r w:rsidRPr="009C71FE">
        <w:rPr>
          <w:sz w:val="20"/>
        </w:rPr>
        <w:t xml:space="preserve">are; </w:t>
      </w:r>
      <w:r w:rsidR="000A27C6">
        <w:rPr>
          <w:sz w:val="20"/>
        </w:rPr>
        <w:t>c</w:t>
      </w:r>
      <w:r w:rsidRPr="009C71FE">
        <w:rPr>
          <w:sz w:val="20"/>
        </w:rPr>
        <w:t xml:space="preserve">atering and </w:t>
      </w:r>
      <w:r w:rsidR="000A27C6">
        <w:rPr>
          <w:sz w:val="20"/>
        </w:rPr>
        <w:t>h</w:t>
      </w:r>
      <w:r w:rsidRPr="009C71FE">
        <w:rPr>
          <w:sz w:val="20"/>
        </w:rPr>
        <w:t xml:space="preserve">ospitality; </w:t>
      </w:r>
      <w:r w:rsidR="000A27C6">
        <w:rPr>
          <w:sz w:val="20"/>
        </w:rPr>
        <w:t>e</w:t>
      </w:r>
      <w:r w:rsidRPr="009C71FE">
        <w:rPr>
          <w:sz w:val="20"/>
        </w:rPr>
        <w:t xml:space="preserve">ducation and </w:t>
      </w:r>
      <w:r w:rsidR="000A27C6">
        <w:rPr>
          <w:sz w:val="20"/>
        </w:rPr>
        <w:t>c</w:t>
      </w:r>
      <w:r w:rsidRPr="009C71FE">
        <w:rPr>
          <w:sz w:val="20"/>
        </w:rPr>
        <w:t xml:space="preserve">hildcare; </w:t>
      </w:r>
      <w:r w:rsidR="000A27C6">
        <w:rPr>
          <w:sz w:val="20"/>
        </w:rPr>
        <w:t>h</w:t>
      </w:r>
      <w:r w:rsidRPr="009C71FE">
        <w:rPr>
          <w:sz w:val="20"/>
        </w:rPr>
        <w:t xml:space="preserve">air and </w:t>
      </w:r>
      <w:r w:rsidR="000A27C6">
        <w:rPr>
          <w:sz w:val="20"/>
        </w:rPr>
        <w:t>b</w:t>
      </w:r>
      <w:r w:rsidRPr="009C71FE">
        <w:rPr>
          <w:sz w:val="20"/>
        </w:rPr>
        <w:t xml:space="preserve">eauty; and </w:t>
      </w:r>
      <w:r w:rsidR="000A27C6">
        <w:rPr>
          <w:sz w:val="20"/>
        </w:rPr>
        <w:t>p</w:t>
      </w:r>
      <w:r w:rsidRPr="009C71FE">
        <w:rPr>
          <w:sz w:val="20"/>
        </w:rPr>
        <w:t xml:space="preserve">rotective </w:t>
      </w:r>
      <w:r w:rsidR="000A27C6">
        <w:rPr>
          <w:sz w:val="20"/>
        </w:rPr>
        <w:t>s</w:t>
      </w:r>
      <w:r w:rsidRPr="009C71FE">
        <w:rPr>
          <w:sz w:val="20"/>
        </w:rPr>
        <w:t>ervices routes</w:t>
      </w:r>
      <w:r w:rsidR="009C71FE" w:rsidRPr="009C71FE">
        <w:rPr>
          <w:sz w:val="20"/>
        </w:rPr>
        <w:t>.</w:t>
      </w:r>
    </w:p>
    <w:p w14:paraId="0A788BF6" w14:textId="77777777" w:rsidR="009C71FE" w:rsidRDefault="009C71FE" w:rsidP="009C71FE">
      <w:pPr>
        <w:tabs>
          <w:tab w:val="left" w:pos="1830"/>
        </w:tabs>
      </w:pPr>
    </w:p>
    <w:p w14:paraId="7AC588C7" w14:textId="6D72C8E6" w:rsidR="00A90A96" w:rsidRDefault="00DC013D" w:rsidP="009C71FE">
      <w:pPr>
        <w:pStyle w:val="DeptBullets"/>
        <w:numPr>
          <w:ilvl w:val="0"/>
          <w:numId w:val="0"/>
        </w:numPr>
      </w:pPr>
      <w:r>
        <w:t xml:space="preserve">Conducting multiple tests increases the chance of Type </w:t>
      </w:r>
      <w:r w:rsidR="00E30687">
        <w:t>I</w:t>
      </w:r>
      <w:r>
        <w:t xml:space="preserve"> errors (</w:t>
      </w:r>
      <w:proofErr w:type="spellStart"/>
      <w:r w:rsidR="00F71705">
        <w:t>eg</w:t>
      </w:r>
      <w:proofErr w:type="spellEnd"/>
      <w:r w:rsidR="00F71705">
        <w:t>,</w:t>
      </w:r>
      <w:r>
        <w:t xml:space="preserve"> </w:t>
      </w:r>
      <w:r w:rsidR="00F47AFE">
        <w:t>using p=0.05 as a threshold for statistical significance</w:t>
      </w:r>
      <w:r>
        <w:t xml:space="preserve">, we would expect to see </w:t>
      </w:r>
      <w:r w:rsidR="00EE4C5C">
        <w:t xml:space="preserve">29 erroneous “significant” results </w:t>
      </w:r>
      <w:r w:rsidR="00E30687">
        <w:t>over</w:t>
      </w:r>
      <w:r w:rsidR="00EE4C5C">
        <w:t xml:space="preserve"> </w:t>
      </w:r>
      <w:r w:rsidR="001A4F68">
        <w:t>584 tests</w:t>
      </w:r>
      <w:r>
        <w:t>)</w:t>
      </w:r>
      <w:r w:rsidR="001A4F68">
        <w:t>. A correction for multiple tests was applied to mitigate this. A Bonferroni correction was used, resulting in an alpha of</w:t>
      </w:r>
      <w:r w:rsidR="00053252">
        <w:t xml:space="preserve"> around</w:t>
      </w:r>
      <w:r w:rsidR="001A4F68">
        <w:t xml:space="preserve"> </w:t>
      </w:r>
      <w:r w:rsidR="00CF62A0">
        <w:t>8.5</w:t>
      </w:r>
      <w:r w:rsidR="00053252">
        <w:t>x10^-5.</w:t>
      </w:r>
      <w:r w:rsidR="00CF62A0">
        <w:t xml:space="preserve"> All group differences quoted in the report are significant at this level.</w:t>
      </w:r>
    </w:p>
    <w:p w14:paraId="053007A4" w14:textId="5BF756CC" w:rsidR="00645C01" w:rsidRDefault="001A4F68" w:rsidP="009C71FE">
      <w:pPr>
        <w:pStyle w:val="DeptBullets"/>
        <w:numPr>
          <w:ilvl w:val="0"/>
          <w:numId w:val="0"/>
        </w:numPr>
      </w:pPr>
      <w:r>
        <w:t>It should be noted that, given the large number of tests, and the relatively conservative analytical approach (both Fisher’s test and the Bonferroni correction are conservative relative to other equivalent options), this research is likely to be substantially underpowered. However, it was judged that, given the limitations of the sample</w:t>
      </w:r>
      <w:r w:rsidR="00645C01">
        <w:t xml:space="preserve"> and the high level of interest in the survey results</w:t>
      </w:r>
      <w:r>
        <w:t xml:space="preserve">, a high threshold for </w:t>
      </w:r>
      <w:r w:rsidR="00645C01">
        <w:t>reporting</w:t>
      </w:r>
      <w:r>
        <w:t xml:space="preserve"> of </w:t>
      </w:r>
      <w:r w:rsidR="00645C01">
        <w:t>relationships</w:t>
      </w:r>
      <w:r>
        <w:t xml:space="preserve"> was appropriate</w:t>
      </w:r>
      <w:r w:rsidR="00F47AFE">
        <w:t>.</w:t>
      </w:r>
    </w:p>
    <w:p w14:paraId="3AC9AE4B" w14:textId="3D8F8909" w:rsidR="00EE0F94" w:rsidRDefault="00685EBA" w:rsidP="009C71FE">
      <w:pPr>
        <w:pStyle w:val="DeptBullets"/>
        <w:numPr>
          <w:ilvl w:val="0"/>
          <w:numId w:val="0"/>
        </w:numPr>
      </w:pPr>
      <w:r>
        <w:t xml:space="preserve">Due to the small number of </w:t>
      </w:r>
      <w:r w:rsidR="00472721">
        <w:t>matching questions</w:t>
      </w:r>
      <w:r>
        <w:t xml:space="preserve"> and low emphasis on </w:t>
      </w:r>
      <w:r w:rsidR="00472721">
        <w:t>longitudinal comparison in this survey, f</w:t>
      </w:r>
      <w:r w:rsidR="00EE0F94">
        <w:t>ormal statistical testing was not conducted for comparisons between the 2020 and 2022 surveys.</w:t>
      </w:r>
      <w:r>
        <w:t xml:space="preserve"> </w:t>
      </w:r>
      <w:r w:rsidR="00472721">
        <w:t xml:space="preserve">Future surveys could begin to provide a more </w:t>
      </w:r>
      <w:r w:rsidR="00AA2F37">
        <w:t>complete dataset for</w:t>
      </w:r>
      <w:r w:rsidR="00EF4E91">
        <w:t xml:space="preserve"> formal</w:t>
      </w:r>
      <w:r w:rsidR="00AA2F37">
        <w:t xml:space="preserve"> longitudinal analysis.</w:t>
      </w:r>
    </w:p>
    <w:p w14:paraId="55A46AEA" w14:textId="6BD2D7EA" w:rsidR="00BF2487" w:rsidRDefault="00BF2487" w:rsidP="009C71FE">
      <w:pPr>
        <w:pStyle w:val="DeptBullets"/>
        <w:numPr>
          <w:ilvl w:val="0"/>
          <w:numId w:val="0"/>
        </w:numPr>
        <w:rPr>
          <w:b/>
          <w:bCs/>
        </w:rPr>
      </w:pPr>
      <w:r w:rsidRPr="00BF2487">
        <w:rPr>
          <w:b/>
          <w:bCs/>
        </w:rPr>
        <w:t>Interpretation</w:t>
      </w:r>
    </w:p>
    <w:p w14:paraId="3ECFDE82" w14:textId="6D3C41F2" w:rsidR="0069664E" w:rsidRDefault="006F56E9" w:rsidP="009C71FE">
      <w:pPr>
        <w:pStyle w:val="DeptBullets"/>
        <w:numPr>
          <w:ilvl w:val="0"/>
          <w:numId w:val="0"/>
        </w:numPr>
      </w:pPr>
      <w:r>
        <w:t>As part of the overall participatory approach, t</w:t>
      </w:r>
      <w:r w:rsidR="002C4723">
        <w:t xml:space="preserve">he panel was </w:t>
      </w:r>
      <w:r>
        <w:t>involved</w:t>
      </w:r>
      <w:r w:rsidR="002C4723">
        <w:t xml:space="preserve"> in the interpretation of the results. To </w:t>
      </w:r>
      <w:r w:rsidR="0069664E">
        <w:t>achieve</w:t>
      </w:r>
      <w:r w:rsidR="002C4723">
        <w:t xml:space="preserve"> this, four areas of interest </w:t>
      </w:r>
      <w:r>
        <w:t>from the results were selected for the panel to discuss.</w:t>
      </w:r>
      <w:r w:rsidR="0069664E">
        <w:t xml:space="preserve"> The areas selected were:</w:t>
      </w:r>
    </w:p>
    <w:p w14:paraId="05153BB6" w14:textId="376202CD" w:rsidR="0069664E" w:rsidRDefault="0069664E" w:rsidP="009C71FE">
      <w:pPr>
        <w:pStyle w:val="DeptBullets"/>
        <w:numPr>
          <w:ilvl w:val="0"/>
          <w:numId w:val="10"/>
        </w:numPr>
      </w:pPr>
      <w:r>
        <w:t>Apprenticeship networks</w:t>
      </w:r>
    </w:p>
    <w:p w14:paraId="46123622" w14:textId="152598D4" w:rsidR="0069664E" w:rsidRDefault="0069664E" w:rsidP="009C71FE">
      <w:pPr>
        <w:pStyle w:val="DeptBullets"/>
        <w:numPr>
          <w:ilvl w:val="0"/>
          <w:numId w:val="10"/>
        </w:numPr>
      </w:pPr>
      <w:r>
        <w:t>Remote v</w:t>
      </w:r>
      <w:r w:rsidR="00E865EB">
        <w:t>s</w:t>
      </w:r>
      <w:r>
        <w:t xml:space="preserve"> in-person learning</w:t>
      </w:r>
    </w:p>
    <w:p w14:paraId="69AADBE1" w14:textId="12941A19" w:rsidR="0069664E" w:rsidRDefault="0069664E" w:rsidP="009C71FE">
      <w:pPr>
        <w:pStyle w:val="DeptBullets"/>
        <w:numPr>
          <w:ilvl w:val="0"/>
          <w:numId w:val="10"/>
        </w:numPr>
      </w:pPr>
      <w:r>
        <w:t>The employer/training provider relationship</w:t>
      </w:r>
    </w:p>
    <w:p w14:paraId="56B9F424" w14:textId="5D8A01EE" w:rsidR="0069664E" w:rsidRDefault="0069664E" w:rsidP="009C71FE">
      <w:pPr>
        <w:pStyle w:val="DeptBullets"/>
        <w:numPr>
          <w:ilvl w:val="0"/>
          <w:numId w:val="10"/>
        </w:numPr>
      </w:pPr>
      <w:r>
        <w:t>Commitment statements</w:t>
      </w:r>
    </w:p>
    <w:p w14:paraId="7B2D3A1B" w14:textId="03C4AA52" w:rsidR="0069664E" w:rsidRDefault="006F56E9" w:rsidP="009C71FE">
      <w:pPr>
        <w:pStyle w:val="DeptBullets"/>
        <w:numPr>
          <w:ilvl w:val="0"/>
          <w:numId w:val="0"/>
        </w:numPr>
      </w:pPr>
      <w:r>
        <w:t xml:space="preserve">Panel members were split into </w:t>
      </w:r>
      <w:r w:rsidR="0069664E">
        <w:t xml:space="preserve">four </w:t>
      </w:r>
      <w:r>
        <w:t>facilitated groups</w:t>
      </w:r>
      <w:r w:rsidR="0069664E">
        <w:t xml:space="preserve">, each with </w:t>
      </w:r>
      <w:r w:rsidR="00840B56">
        <w:t>six to eight</w:t>
      </w:r>
      <w:r w:rsidR="0069664E">
        <w:t xml:space="preserve"> participants</w:t>
      </w:r>
      <w:r w:rsidR="00261DEA">
        <w:t xml:space="preserve">. </w:t>
      </w:r>
      <w:r w:rsidR="0069664E">
        <w:t>Each group was</w:t>
      </w:r>
      <w:r>
        <w:t xml:space="preserve"> asked to reflect on the results, drawing on their own experiences as apprentices.</w:t>
      </w:r>
      <w:r w:rsidR="002C4723">
        <w:t xml:space="preserve"> </w:t>
      </w:r>
      <w:r>
        <w:t>A note-taker captured their anonymous responses</w:t>
      </w:r>
      <w:r w:rsidR="0069664E">
        <w:t>. As these were short conversations with a single notetaker</w:t>
      </w:r>
      <w:r w:rsidR="00FC61B9">
        <w:t>,</w:t>
      </w:r>
      <w:r w:rsidR="0069664E">
        <w:t xml:space="preserve"> textual records of the conversations were quite limited. Therefore, these outputs have not been analysed using a formal qualitative analysis approach</w:t>
      </w:r>
      <w:r w:rsidR="00840B56">
        <w:t>;</w:t>
      </w:r>
      <w:r w:rsidR="0069664E">
        <w:t xml:space="preserve"> instead</w:t>
      </w:r>
      <w:r w:rsidR="00840B56">
        <w:t xml:space="preserve">, </w:t>
      </w:r>
      <w:r w:rsidR="0069664E">
        <w:t>informal summaries of the conversations are included in separate “</w:t>
      </w:r>
      <w:r w:rsidR="00840B56">
        <w:t>Apprentice panel i</w:t>
      </w:r>
      <w:r w:rsidR="0069664E">
        <w:t xml:space="preserve">nsights” boxes in the main report. These should be taken as anecdotal flavour or context, rather than robust research results. </w:t>
      </w:r>
    </w:p>
    <w:p w14:paraId="08CFFAFB" w14:textId="61740A68" w:rsidR="0069664E" w:rsidRPr="00AF1C07" w:rsidRDefault="0069664E" w:rsidP="009C71FE">
      <w:pPr>
        <w:pStyle w:val="DeptBullets"/>
        <w:numPr>
          <w:ilvl w:val="0"/>
          <w:numId w:val="0"/>
        </w:numPr>
      </w:pPr>
      <w:r>
        <w:t>The panel also ha</w:t>
      </w:r>
      <w:r w:rsidR="00832967">
        <w:t>s</w:t>
      </w:r>
      <w:r>
        <w:t xml:space="preserve"> other opportunities to explore the data. </w:t>
      </w:r>
      <w:r w:rsidR="00EB1D5D">
        <w:t>Panel members have</w:t>
      </w:r>
      <w:r>
        <w:t xml:space="preserve"> access to the full </w:t>
      </w:r>
      <w:r w:rsidR="00261DEA">
        <w:t>report and</w:t>
      </w:r>
      <w:r>
        <w:t xml:space="preserve"> </w:t>
      </w:r>
      <w:r w:rsidR="00EB1D5D">
        <w:t>are</w:t>
      </w:r>
      <w:r>
        <w:t xml:space="preserve"> supported to develop recommendations and programmes of action based on the results. These activities are outside the research process itself though, and therefore outside the scope of this report.</w:t>
      </w:r>
    </w:p>
    <w:sectPr w:rsidR="0069664E"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5A83" w14:textId="77777777" w:rsidR="00532EAB" w:rsidRDefault="00532EAB">
      <w:r>
        <w:separator/>
      </w:r>
    </w:p>
  </w:endnote>
  <w:endnote w:type="continuationSeparator" w:id="0">
    <w:p w14:paraId="43D4DD69" w14:textId="77777777" w:rsidR="00532EAB" w:rsidRDefault="0053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CBDC" w14:textId="77777777" w:rsidR="00532EAB" w:rsidRDefault="00532EAB">
      <w:r>
        <w:separator/>
      </w:r>
    </w:p>
  </w:footnote>
  <w:footnote w:type="continuationSeparator" w:id="0">
    <w:p w14:paraId="762A62C9" w14:textId="77777777" w:rsidR="00532EAB" w:rsidRDefault="00532EAB">
      <w:r>
        <w:continuationSeparator/>
      </w:r>
    </w:p>
  </w:footnote>
  <w:footnote w:id="1">
    <w:p w14:paraId="133AC3C5" w14:textId="24444A6E" w:rsidR="00B15396" w:rsidRDefault="00B15396">
      <w:pPr>
        <w:pStyle w:val="FootnoteText"/>
      </w:pPr>
      <w:r>
        <w:rPr>
          <w:rStyle w:val="FootnoteReference"/>
        </w:rPr>
        <w:footnoteRef/>
      </w:r>
      <w:r>
        <w:t xml:space="preserve"> See for example, </w:t>
      </w:r>
      <w:r w:rsidRPr="00B15396">
        <w:t>Vaughn, L. M., &amp; Jacquez, F. (2020). Participatory Research Methods – Choice Points in the Research Process. Journal of Participatory Research Methods, 1(1). https://doi.org/10.35844/001c.13244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9762671"/>
    <w:multiLevelType w:val="hybridMultilevel"/>
    <w:tmpl w:val="999217D6"/>
    <w:lvl w:ilvl="0" w:tplc="748E00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D79"/>
    <w:multiLevelType w:val="hybridMultilevel"/>
    <w:tmpl w:val="89FE49A4"/>
    <w:lvl w:ilvl="0" w:tplc="BCF457C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0587D"/>
    <w:multiLevelType w:val="hybridMultilevel"/>
    <w:tmpl w:val="CFD81A18"/>
    <w:lvl w:ilvl="0" w:tplc="BCF457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FD84A00"/>
    <w:multiLevelType w:val="hybridMultilevel"/>
    <w:tmpl w:val="6D060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151141">
    <w:abstractNumId w:val="5"/>
  </w:num>
  <w:num w:numId="2" w16cid:durableId="461653784">
    <w:abstractNumId w:val="1"/>
  </w:num>
  <w:num w:numId="3" w16cid:durableId="1959532163">
    <w:abstractNumId w:val="9"/>
  </w:num>
  <w:num w:numId="4" w16cid:durableId="1062829302">
    <w:abstractNumId w:val="0"/>
  </w:num>
  <w:num w:numId="5" w16cid:durableId="1061102028">
    <w:abstractNumId w:val="6"/>
  </w:num>
  <w:num w:numId="6" w16cid:durableId="2079134056">
    <w:abstractNumId w:val="8"/>
  </w:num>
  <w:num w:numId="7" w16cid:durableId="970129875">
    <w:abstractNumId w:val="7"/>
  </w:num>
  <w:num w:numId="8" w16cid:durableId="698891285">
    <w:abstractNumId w:val="2"/>
  </w:num>
  <w:num w:numId="9" w16cid:durableId="2009942167">
    <w:abstractNumId w:val="10"/>
  </w:num>
  <w:num w:numId="10" w16cid:durableId="29965288">
    <w:abstractNumId w:val="4"/>
  </w:num>
  <w:num w:numId="11" w16cid:durableId="331101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D4"/>
    <w:rsid w:val="00011F78"/>
    <w:rsid w:val="00022DB6"/>
    <w:rsid w:val="00041864"/>
    <w:rsid w:val="0004776A"/>
    <w:rsid w:val="00050EA4"/>
    <w:rsid w:val="00053252"/>
    <w:rsid w:val="000639D1"/>
    <w:rsid w:val="000833EF"/>
    <w:rsid w:val="000A06CF"/>
    <w:rsid w:val="000A0C1B"/>
    <w:rsid w:val="000A27C6"/>
    <w:rsid w:val="000A3544"/>
    <w:rsid w:val="000B1468"/>
    <w:rsid w:val="000E5E58"/>
    <w:rsid w:val="000F48E2"/>
    <w:rsid w:val="000F4E59"/>
    <w:rsid w:val="00116F59"/>
    <w:rsid w:val="001362FD"/>
    <w:rsid w:val="001366BB"/>
    <w:rsid w:val="001372F2"/>
    <w:rsid w:val="0014017D"/>
    <w:rsid w:val="00153F85"/>
    <w:rsid w:val="00180A06"/>
    <w:rsid w:val="0018220B"/>
    <w:rsid w:val="00182783"/>
    <w:rsid w:val="0019463B"/>
    <w:rsid w:val="00195F8E"/>
    <w:rsid w:val="001A0A41"/>
    <w:rsid w:val="001A38D4"/>
    <w:rsid w:val="001A4F68"/>
    <w:rsid w:val="001A54FA"/>
    <w:rsid w:val="001B05C8"/>
    <w:rsid w:val="001B6DF9"/>
    <w:rsid w:val="001C7A73"/>
    <w:rsid w:val="001D55BC"/>
    <w:rsid w:val="001D7FB3"/>
    <w:rsid w:val="002009C2"/>
    <w:rsid w:val="00211C37"/>
    <w:rsid w:val="00212D24"/>
    <w:rsid w:val="00217581"/>
    <w:rsid w:val="0022396A"/>
    <w:rsid w:val="002335B0"/>
    <w:rsid w:val="002338A1"/>
    <w:rsid w:val="00261DEA"/>
    <w:rsid w:val="0026598F"/>
    <w:rsid w:val="00266064"/>
    <w:rsid w:val="0027611C"/>
    <w:rsid w:val="00277422"/>
    <w:rsid w:val="002840A7"/>
    <w:rsid w:val="002840D0"/>
    <w:rsid w:val="00290240"/>
    <w:rsid w:val="00295EFC"/>
    <w:rsid w:val="002B651E"/>
    <w:rsid w:val="002C4723"/>
    <w:rsid w:val="002D2A7A"/>
    <w:rsid w:val="002E28FA"/>
    <w:rsid w:val="002F7D13"/>
    <w:rsid w:val="00310708"/>
    <w:rsid w:val="00311C68"/>
    <w:rsid w:val="00312BD3"/>
    <w:rsid w:val="00346097"/>
    <w:rsid w:val="00347A3B"/>
    <w:rsid w:val="00367EEB"/>
    <w:rsid w:val="00370895"/>
    <w:rsid w:val="00392AE9"/>
    <w:rsid w:val="0039734A"/>
    <w:rsid w:val="003B78F9"/>
    <w:rsid w:val="003B7B01"/>
    <w:rsid w:val="003D2D25"/>
    <w:rsid w:val="003D4F08"/>
    <w:rsid w:val="003D74A2"/>
    <w:rsid w:val="003D7A13"/>
    <w:rsid w:val="003E1B86"/>
    <w:rsid w:val="003F4786"/>
    <w:rsid w:val="00402829"/>
    <w:rsid w:val="00417420"/>
    <w:rsid w:val="00421AC0"/>
    <w:rsid w:val="00430DC5"/>
    <w:rsid w:val="00450D89"/>
    <w:rsid w:val="004533A7"/>
    <w:rsid w:val="00460505"/>
    <w:rsid w:val="00463122"/>
    <w:rsid w:val="00472721"/>
    <w:rsid w:val="00480E77"/>
    <w:rsid w:val="00484C39"/>
    <w:rsid w:val="00485C17"/>
    <w:rsid w:val="004955D9"/>
    <w:rsid w:val="004E07B7"/>
    <w:rsid w:val="004E633C"/>
    <w:rsid w:val="00510041"/>
    <w:rsid w:val="00511CA5"/>
    <w:rsid w:val="005150CE"/>
    <w:rsid w:val="00530814"/>
    <w:rsid w:val="00532EAB"/>
    <w:rsid w:val="00533B53"/>
    <w:rsid w:val="00542226"/>
    <w:rsid w:val="00545301"/>
    <w:rsid w:val="005551C0"/>
    <w:rsid w:val="00555CF3"/>
    <w:rsid w:val="00565333"/>
    <w:rsid w:val="00565934"/>
    <w:rsid w:val="00591B39"/>
    <w:rsid w:val="005A1B62"/>
    <w:rsid w:val="005B1CC3"/>
    <w:rsid w:val="005B5A07"/>
    <w:rsid w:val="005C1372"/>
    <w:rsid w:val="005C59D4"/>
    <w:rsid w:val="005F3939"/>
    <w:rsid w:val="006075F0"/>
    <w:rsid w:val="00607A4B"/>
    <w:rsid w:val="0062704E"/>
    <w:rsid w:val="00634682"/>
    <w:rsid w:val="0063507E"/>
    <w:rsid w:val="006363E9"/>
    <w:rsid w:val="00641847"/>
    <w:rsid w:val="00645C01"/>
    <w:rsid w:val="006527F8"/>
    <w:rsid w:val="006858D6"/>
    <w:rsid w:val="00685EBA"/>
    <w:rsid w:val="00687908"/>
    <w:rsid w:val="0069664E"/>
    <w:rsid w:val="006A0189"/>
    <w:rsid w:val="006A1127"/>
    <w:rsid w:val="006A2F72"/>
    <w:rsid w:val="006A3278"/>
    <w:rsid w:val="006D3EBD"/>
    <w:rsid w:val="006D7793"/>
    <w:rsid w:val="006E5AF8"/>
    <w:rsid w:val="006E6F0B"/>
    <w:rsid w:val="006F56E9"/>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C410F"/>
    <w:rsid w:val="007D0DBA"/>
    <w:rsid w:val="007D4DB0"/>
    <w:rsid w:val="007E070F"/>
    <w:rsid w:val="007F073B"/>
    <w:rsid w:val="00805C72"/>
    <w:rsid w:val="00813893"/>
    <w:rsid w:val="00816F35"/>
    <w:rsid w:val="008259E4"/>
    <w:rsid w:val="00831225"/>
    <w:rsid w:val="00832967"/>
    <w:rsid w:val="00840B56"/>
    <w:rsid w:val="008428AB"/>
    <w:rsid w:val="00862556"/>
    <w:rsid w:val="00863664"/>
    <w:rsid w:val="0088151C"/>
    <w:rsid w:val="008817AB"/>
    <w:rsid w:val="008843A4"/>
    <w:rsid w:val="0089697D"/>
    <w:rsid w:val="008A56B3"/>
    <w:rsid w:val="008B1C49"/>
    <w:rsid w:val="008B67CC"/>
    <w:rsid w:val="008D1228"/>
    <w:rsid w:val="008D2907"/>
    <w:rsid w:val="008E3BDA"/>
    <w:rsid w:val="008E6FB2"/>
    <w:rsid w:val="008F452F"/>
    <w:rsid w:val="009044D7"/>
    <w:rsid w:val="00905ADC"/>
    <w:rsid w:val="00906C33"/>
    <w:rsid w:val="00907B9C"/>
    <w:rsid w:val="009173AF"/>
    <w:rsid w:val="00932946"/>
    <w:rsid w:val="009424FA"/>
    <w:rsid w:val="009426CB"/>
    <w:rsid w:val="00963073"/>
    <w:rsid w:val="0097315A"/>
    <w:rsid w:val="009A3F0A"/>
    <w:rsid w:val="009B3EFE"/>
    <w:rsid w:val="009B493A"/>
    <w:rsid w:val="009C128F"/>
    <w:rsid w:val="009C44C2"/>
    <w:rsid w:val="009C71FE"/>
    <w:rsid w:val="009C7FBF"/>
    <w:rsid w:val="009D3D73"/>
    <w:rsid w:val="009D792D"/>
    <w:rsid w:val="009E1880"/>
    <w:rsid w:val="009E73AD"/>
    <w:rsid w:val="009F5357"/>
    <w:rsid w:val="009F7653"/>
    <w:rsid w:val="00A00569"/>
    <w:rsid w:val="00A21E85"/>
    <w:rsid w:val="00A2712A"/>
    <w:rsid w:val="00A3306B"/>
    <w:rsid w:val="00A36044"/>
    <w:rsid w:val="00A366A9"/>
    <w:rsid w:val="00A46912"/>
    <w:rsid w:val="00A64099"/>
    <w:rsid w:val="00A73663"/>
    <w:rsid w:val="00A90A96"/>
    <w:rsid w:val="00A91C54"/>
    <w:rsid w:val="00A96425"/>
    <w:rsid w:val="00AA2F37"/>
    <w:rsid w:val="00AB6016"/>
    <w:rsid w:val="00AB75E6"/>
    <w:rsid w:val="00AC2A37"/>
    <w:rsid w:val="00AC48C0"/>
    <w:rsid w:val="00AD0E50"/>
    <w:rsid w:val="00AD632D"/>
    <w:rsid w:val="00AE4B90"/>
    <w:rsid w:val="00AF0554"/>
    <w:rsid w:val="00AF1C07"/>
    <w:rsid w:val="00AF737F"/>
    <w:rsid w:val="00B006DF"/>
    <w:rsid w:val="00B05ECD"/>
    <w:rsid w:val="00B06163"/>
    <w:rsid w:val="00B06172"/>
    <w:rsid w:val="00B15396"/>
    <w:rsid w:val="00B16A24"/>
    <w:rsid w:val="00B16A8C"/>
    <w:rsid w:val="00B275C1"/>
    <w:rsid w:val="00B31021"/>
    <w:rsid w:val="00B3432A"/>
    <w:rsid w:val="00B34C48"/>
    <w:rsid w:val="00B6522B"/>
    <w:rsid w:val="00B65709"/>
    <w:rsid w:val="00B67DF2"/>
    <w:rsid w:val="00B85BF7"/>
    <w:rsid w:val="00B939CC"/>
    <w:rsid w:val="00BB28E7"/>
    <w:rsid w:val="00BC547B"/>
    <w:rsid w:val="00BD4B6C"/>
    <w:rsid w:val="00BF2487"/>
    <w:rsid w:val="00BF4BE3"/>
    <w:rsid w:val="00C33EA0"/>
    <w:rsid w:val="00C37933"/>
    <w:rsid w:val="00C408C7"/>
    <w:rsid w:val="00C47EEA"/>
    <w:rsid w:val="00C519D0"/>
    <w:rsid w:val="00C57A1E"/>
    <w:rsid w:val="00C70ACB"/>
    <w:rsid w:val="00C774D7"/>
    <w:rsid w:val="00CA4FEC"/>
    <w:rsid w:val="00CD0B0A"/>
    <w:rsid w:val="00CD7921"/>
    <w:rsid w:val="00CE084B"/>
    <w:rsid w:val="00CE241C"/>
    <w:rsid w:val="00CE4592"/>
    <w:rsid w:val="00CF62A0"/>
    <w:rsid w:val="00D02D57"/>
    <w:rsid w:val="00D118D6"/>
    <w:rsid w:val="00D20266"/>
    <w:rsid w:val="00D20C29"/>
    <w:rsid w:val="00D33842"/>
    <w:rsid w:val="00D47915"/>
    <w:rsid w:val="00D57D6E"/>
    <w:rsid w:val="00D61F5A"/>
    <w:rsid w:val="00D656C2"/>
    <w:rsid w:val="00D74746"/>
    <w:rsid w:val="00D86A3C"/>
    <w:rsid w:val="00DB4C12"/>
    <w:rsid w:val="00DC013D"/>
    <w:rsid w:val="00DD44F4"/>
    <w:rsid w:val="00DD6C3D"/>
    <w:rsid w:val="00DF1503"/>
    <w:rsid w:val="00DF3319"/>
    <w:rsid w:val="00E0081E"/>
    <w:rsid w:val="00E02094"/>
    <w:rsid w:val="00E063C2"/>
    <w:rsid w:val="00E10F4C"/>
    <w:rsid w:val="00E14054"/>
    <w:rsid w:val="00E2419F"/>
    <w:rsid w:val="00E30687"/>
    <w:rsid w:val="00E366D6"/>
    <w:rsid w:val="00E4187F"/>
    <w:rsid w:val="00E63D8B"/>
    <w:rsid w:val="00E81F4B"/>
    <w:rsid w:val="00E85157"/>
    <w:rsid w:val="00E865EB"/>
    <w:rsid w:val="00EA11BE"/>
    <w:rsid w:val="00EA719E"/>
    <w:rsid w:val="00EB1D5D"/>
    <w:rsid w:val="00EC644A"/>
    <w:rsid w:val="00EC6A3F"/>
    <w:rsid w:val="00EE0F94"/>
    <w:rsid w:val="00EE4C5C"/>
    <w:rsid w:val="00EF4E91"/>
    <w:rsid w:val="00EF4F11"/>
    <w:rsid w:val="00F30554"/>
    <w:rsid w:val="00F348D2"/>
    <w:rsid w:val="00F4485F"/>
    <w:rsid w:val="00F44B6A"/>
    <w:rsid w:val="00F47AFE"/>
    <w:rsid w:val="00F521C7"/>
    <w:rsid w:val="00F60BF8"/>
    <w:rsid w:val="00F64863"/>
    <w:rsid w:val="00F71705"/>
    <w:rsid w:val="00F960C1"/>
    <w:rsid w:val="00FA0331"/>
    <w:rsid w:val="00FA0999"/>
    <w:rsid w:val="00FC049C"/>
    <w:rsid w:val="00FC1C0E"/>
    <w:rsid w:val="00FC5ED8"/>
    <w:rsid w:val="00FC61B9"/>
    <w:rsid w:val="00FE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BD7DB"/>
  <w15:chartTrackingRefBased/>
  <w15:docId w15:val="{5429E72D-F621-442C-8783-DDE12220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1A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15396"/>
    <w:rPr>
      <w:sz w:val="20"/>
    </w:rPr>
  </w:style>
  <w:style w:type="character" w:customStyle="1" w:styleId="FootnoteTextChar">
    <w:name w:val="Footnote Text Char"/>
    <w:basedOn w:val="DefaultParagraphFont"/>
    <w:link w:val="FootnoteText"/>
    <w:semiHidden/>
    <w:rsid w:val="00B15396"/>
    <w:rPr>
      <w:rFonts w:ascii="Arial" w:hAnsi="Arial"/>
      <w:lang w:eastAsia="en-US"/>
    </w:rPr>
  </w:style>
  <w:style w:type="character" w:styleId="FootnoteReference">
    <w:name w:val="footnote reference"/>
    <w:basedOn w:val="DefaultParagraphFont"/>
    <w:semiHidden/>
    <w:unhideWhenUsed/>
    <w:rsid w:val="00B15396"/>
    <w:rPr>
      <w:vertAlign w:val="superscript"/>
    </w:rPr>
  </w:style>
  <w:style w:type="character" w:styleId="Hyperlink">
    <w:name w:val="Hyperlink"/>
    <w:basedOn w:val="DefaultParagraphFont"/>
    <w:unhideWhenUsed/>
    <w:rsid w:val="00AA2F37"/>
    <w:rPr>
      <w:color w:val="0000FF" w:themeColor="hyperlink"/>
      <w:u w:val="single"/>
    </w:rPr>
  </w:style>
  <w:style w:type="character" w:styleId="UnresolvedMention">
    <w:name w:val="Unresolved Mention"/>
    <w:basedOn w:val="DefaultParagraphFont"/>
    <w:uiPriority w:val="99"/>
    <w:semiHidden/>
    <w:unhideWhenUsed/>
    <w:rsid w:val="00AA2F37"/>
    <w:rPr>
      <w:color w:val="605E5C"/>
      <w:shd w:val="clear" w:color="auto" w:fill="E1DFDD"/>
    </w:rPr>
  </w:style>
  <w:style w:type="paragraph" w:styleId="Revision">
    <w:name w:val="Revision"/>
    <w:hidden/>
    <w:uiPriority w:val="99"/>
    <w:semiHidden/>
    <w:rsid w:val="005F3939"/>
    <w:rPr>
      <w:rFonts w:ascii="Arial" w:hAnsi="Arial"/>
      <w:sz w:val="24"/>
      <w:lang w:eastAsia="en-US"/>
    </w:rPr>
  </w:style>
  <w:style w:type="character" w:styleId="CommentReference">
    <w:name w:val="annotation reference"/>
    <w:basedOn w:val="DefaultParagraphFont"/>
    <w:semiHidden/>
    <w:unhideWhenUsed/>
    <w:rsid w:val="008259E4"/>
    <w:rPr>
      <w:sz w:val="16"/>
      <w:szCs w:val="16"/>
    </w:rPr>
  </w:style>
  <w:style w:type="paragraph" w:styleId="CommentText">
    <w:name w:val="annotation text"/>
    <w:basedOn w:val="Normal"/>
    <w:link w:val="CommentTextChar"/>
    <w:unhideWhenUsed/>
    <w:rsid w:val="008259E4"/>
    <w:rPr>
      <w:sz w:val="20"/>
    </w:rPr>
  </w:style>
  <w:style w:type="character" w:customStyle="1" w:styleId="CommentTextChar">
    <w:name w:val="Comment Text Char"/>
    <w:basedOn w:val="DefaultParagraphFont"/>
    <w:link w:val="CommentText"/>
    <w:rsid w:val="008259E4"/>
    <w:rPr>
      <w:rFonts w:ascii="Arial" w:hAnsi="Arial"/>
      <w:lang w:eastAsia="en-US"/>
    </w:rPr>
  </w:style>
  <w:style w:type="paragraph" w:styleId="CommentSubject">
    <w:name w:val="annotation subject"/>
    <w:basedOn w:val="CommentText"/>
    <w:next w:val="CommentText"/>
    <w:link w:val="CommentSubjectChar"/>
    <w:semiHidden/>
    <w:unhideWhenUsed/>
    <w:rsid w:val="008259E4"/>
    <w:rPr>
      <w:b/>
      <w:bCs/>
    </w:rPr>
  </w:style>
  <w:style w:type="character" w:customStyle="1" w:styleId="CommentSubjectChar">
    <w:name w:val="Comment Subject Char"/>
    <w:basedOn w:val="CommentTextChar"/>
    <w:link w:val="CommentSubject"/>
    <w:semiHidden/>
    <w:rsid w:val="008259E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ducationgovuk.sharepoint.com/sites/DDST/Shared%20Documents/Social%20research/Apprentice%20Panel%20Survey/3.%20Data%20and%20analysis/AP_data_2020.cs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C486E3CAD944F9488EEB865BA688D24A" ma:contentTypeVersion="9" ma:contentTypeDescription="" ma:contentTypeScope="" ma:versionID="a03691ab33e99865149ae251aaf4c9d7">
  <xsd:schema xmlns:xsd="http://www.w3.org/2001/XMLSchema" xmlns:xs="http://www.w3.org/2001/XMLSchema" xmlns:p="http://schemas.microsoft.com/office/2006/metadata/properties" xmlns:ns2="8c566321-f672-4e06-a901-b5e72b4c4357" xmlns:ns3="b481d486-1b09-4d81-88a9-ace971f3e01f" targetNamespace="http://schemas.microsoft.com/office/2006/metadata/properties" ma:root="true" ma:fieldsID="002aa3c886fee23c41f5535c7a010473" ns2:_="" ns3:_="">
    <xsd:import namespace="8c566321-f672-4e06-a901-b5e72b4c4357"/>
    <xsd:import namespace="b481d486-1b09-4d81-88a9-ace971f3e01f"/>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9ae5a99-9431-4103-a3e7-4fb30eb32617}" ma:internalName="TaxCatchAll" ma:showField="CatchAllData"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9ae5a99-9431-4103-a3e7-4fb30eb32617}" ma:internalName="TaxCatchAllLabel" ma:readOnly="true" ma:showField="CatchAllDataLabel" ma:web="b481d486-1b09-4d81-88a9-ace971f3e01f">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81d486-1b09-4d81-88a9-ace971f3e01f"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c07c698-60f5-424f-b9af-f4c59398b511" ContentTypeId="0x010100545E941595ED5448BA61900FDDAFF313"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74</Value>
      <Value>73</Value>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IfATE</TermName>
          <TermId xmlns="http://schemas.microsoft.com/office/infopath/2007/PartnerControls">3173f0d7-00e0-4aad-bf7c-9baf4e752e62</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IfATE</TermName>
          <TermId xmlns="http://schemas.microsoft.com/office/infopath/2007/PartnerControls">7df1cc98-e824-4dcc-9635-c405753d7d61</TermId>
        </TermInfo>
      </Terms>
    </f6ec388a6d534bab86a259abd1bfa088>
    <i98b064926ea4fbe8f5b88c394ff652b xmlns="8c566321-f672-4e06-a901-b5e72b4c4357">
      <Terms xmlns="http://schemas.microsoft.com/office/infopath/2007/PartnerControls"/>
    </i98b064926ea4fbe8f5b88c394ff652b>
    <_dlc_DocId xmlns="b481d486-1b09-4d81-88a9-ace971f3e01f">DPN6QKARJD77-264432985-13037</_dlc_DocId>
    <_dlc_DocIdUrl xmlns="b481d486-1b09-4d81-88a9-ace971f3e01f">
      <Url>https://educationgovuk.sharepoint.com/sites/cgm/_layouts/15/DocIdRedir.aspx?ID=DPN6QKARJD77-264432985-13037</Url>
      <Description>DPN6QKARJD77-264432985-13037</Description>
    </_dlc_DocIdUrl>
  </documentManagement>
</p:properties>
</file>

<file path=customXml/itemProps1.xml><?xml version="1.0" encoding="utf-8"?>
<ds:datastoreItem xmlns:ds="http://schemas.openxmlformats.org/officeDocument/2006/customXml" ds:itemID="{316C313C-BCA4-4C54-9AF5-E7E4E45EE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481d486-1b09-4d81-88a9-ace971f3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915EF-90F8-4F34-96DA-BF9810237411}">
  <ds:schemaRefs>
    <ds:schemaRef ds:uri="http://schemas.openxmlformats.org/officeDocument/2006/bibliography"/>
  </ds:schemaRefs>
</ds:datastoreItem>
</file>

<file path=customXml/itemProps3.xml><?xml version="1.0" encoding="utf-8"?>
<ds:datastoreItem xmlns:ds="http://schemas.openxmlformats.org/officeDocument/2006/customXml" ds:itemID="{12DDAE7C-5034-42BC-ACDE-8F0EA2B09443}">
  <ds:schemaRefs>
    <ds:schemaRef ds:uri="http://schemas.microsoft.com/sharepoint/events"/>
  </ds:schemaRefs>
</ds:datastoreItem>
</file>

<file path=customXml/itemProps4.xml><?xml version="1.0" encoding="utf-8"?>
<ds:datastoreItem xmlns:ds="http://schemas.openxmlformats.org/officeDocument/2006/customXml" ds:itemID="{92EA858A-B58C-492D-9699-BE27F21D2CC2}">
  <ds:schemaRefs>
    <ds:schemaRef ds:uri="http://schemas.microsoft.com/sharepoint/v3/contenttype/forms"/>
  </ds:schemaRefs>
</ds:datastoreItem>
</file>

<file path=customXml/itemProps5.xml><?xml version="1.0" encoding="utf-8"?>
<ds:datastoreItem xmlns:ds="http://schemas.openxmlformats.org/officeDocument/2006/customXml" ds:itemID="{6FCE2BD8-CFEB-482D-A68C-7434F38A15E7}">
  <ds:schemaRefs>
    <ds:schemaRef ds:uri="Microsoft.SharePoint.Taxonomy.ContentTypeSync"/>
  </ds:schemaRefs>
</ds:datastoreItem>
</file>

<file path=customXml/itemProps6.xml><?xml version="1.0" encoding="utf-8"?>
<ds:datastoreItem xmlns:ds="http://schemas.openxmlformats.org/officeDocument/2006/customXml" ds:itemID="{F88112D0-F312-425D-8B2D-2EB5654E6044}">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b481d486-1b09-4d81-88a9-ace971f3e01f"/>
    <ds:schemaRef ds:uri="http://purl.org/dc/dcmitype/"/>
    <ds:schemaRef ds:uri="http://schemas.microsoft.com/office/infopath/2007/PartnerControls"/>
    <ds:schemaRef ds:uri="http://schemas.openxmlformats.org/package/2006/metadata/core-properties"/>
    <ds:schemaRef ds:uri="8c566321-f672-4e06-a901-b5e72b4c4357"/>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1806</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FINAL_AP_2022_Technical Annex</dc:title>
  <dc:subject/>
  <dc:creator>WARRINER, Joe</dc:creator>
  <cp:keywords/>
  <dc:description/>
  <cp:lastModifiedBy>KELLIHER, Susanne</cp:lastModifiedBy>
  <cp:revision>36</cp:revision>
  <dcterms:created xsi:type="dcterms:W3CDTF">2022-07-29T18:56:00Z</dcterms:created>
  <dcterms:modified xsi:type="dcterms:W3CDTF">2022-10-05T12:42:00Z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0x010100545E941595ED5448BA61900FDDAFF31300C486E3CAD944F9488EEB865BA688D24A</vt:lpwstr>
  </property>
  <property fmtid="{D5CDD505-2E9C-101B-9397-08002B2CF9AE}" pid="3" name="c02f73938b5741d4934b358b31a1b80f">
    <vt:lpwstr>Official|0884c477-2e62-47ea-b19c-5af6e91124c5</vt:lpwstr>
  </property>
  <property fmtid="{D5CDD505-2E9C-101B-9397-08002B2CF9AE}" pid="4" name="TaxCatchAll">
    <vt:lpwstr>1;#Official|0884c477-2e62-47ea-b19c-5af6e91124c5</vt:lpwstr>
  </property>
  <property fmtid="{D5CDD505-2E9C-101B-9397-08002B2CF9AE}" pid="5" name="DfeRights:ProtectiveMarking">
    <vt:lpwstr>1;#Official|0884c477-2e62-47ea-b19c-5af6e91124c5</vt:lpwstr>
  </property>
  <property fmtid="{D5CDD505-2E9C-101B-9397-08002B2CF9AE}" pid="6" name="Classification">
    <vt:lpwstr/>
  </property>
  <property fmtid="{D5CDD505-2E9C-101B-9397-08002B2CF9AE}" pid="7" name="p6919dbb65844893b164c5f63a6f0eeb">
    <vt:lpwstr/>
  </property>
  <property fmtid="{D5CDD505-2E9C-101B-9397-08002B2CF9AE}" pid="8" name="f6ec388a6d534bab86a259abd1bfa088">
    <vt:lpwstr/>
  </property>
  <property fmtid="{D5CDD505-2E9C-101B-9397-08002B2CF9AE}" pid="9" name="MediaServiceImageTags">
    <vt:lpwstr/>
  </property>
  <property fmtid="{D5CDD505-2E9C-101B-9397-08002B2CF9AE}" pid="10" name="DfeSubject">
    <vt:lpwstr/>
  </property>
  <property fmtid="{D5CDD505-2E9C-101B-9397-08002B2CF9AE}" pid="11" name="i98b064926ea4fbe8f5b88c394ff652b">
    <vt:lpwstr/>
  </property>
  <property fmtid="{D5CDD505-2E9C-101B-9397-08002B2CF9AE}" pid="12" name="DfeOrganisationalUnit">
    <vt:lpwstr>74;#IfATE|7df1cc98-e824-4dcc-9635-c405753d7d61</vt:lpwstr>
  </property>
  <property fmtid="{D5CDD505-2E9C-101B-9397-08002B2CF9AE}" pid="13" name="DfeOwner">
    <vt:lpwstr>73;#IfATE|3173f0d7-00e0-4aad-bf7c-9baf4e752e62</vt:lpwstr>
  </property>
  <property fmtid="{D5CDD505-2E9C-101B-9397-08002B2CF9AE}" pid="14" name="c29f786fa1994278b41b201010e20353">
    <vt:lpwstr>DfE|a484111e-5b24-4ad9-9778-c536c8c88985</vt:lpwstr>
  </property>
  <property fmtid="{D5CDD505-2E9C-101B-9397-08002B2CF9AE}" pid="15" name="f87918d5424442f3968fbb220d199cfa">
    <vt:lpwstr>DfE|cc08a6d4-dfde-4d0f-bd85-069ebcef80d5</vt:lpwstr>
  </property>
  <property fmtid="{D5CDD505-2E9C-101B-9397-08002B2CF9AE}" pid="16" name="e9956d2a91084f21aaba141125e5f3ca">
    <vt:lpwstr>Official|0884c477-2e62-47ea-b19c-5af6e91124c5</vt:lpwstr>
  </property>
  <property fmtid="{D5CDD505-2E9C-101B-9397-08002B2CF9AE}" pid="17" name="_dlc_DocIdItemGuid">
    <vt:lpwstr>28b7f63a-5e50-4871-8efc-7a5562d0289b</vt:lpwstr>
  </property>
  <property fmtid="{D5CDD505-2E9C-101B-9397-08002B2CF9AE}" pid="18" name="IWPOrganisationalUnit">
    <vt:lpwstr>2;#DfE|cc08a6d4-dfde-4d0f-bd85-069ebcef80d5</vt:lpwstr>
  </property>
  <property fmtid="{D5CDD505-2E9C-101B-9397-08002B2CF9AE}" pid="19" name="IWPOwner">
    <vt:lpwstr>3;#DfE|a484111e-5b24-4ad9-9778-c536c8c88985</vt:lpwstr>
  </property>
  <property fmtid="{D5CDD505-2E9C-101B-9397-08002B2CF9AE}" pid="20" name="aa68b928982d4305ac4d07ec9a0b45b5">
    <vt:lpwstr/>
  </property>
  <property fmtid="{D5CDD505-2E9C-101B-9397-08002B2CF9AE}" pid="21" name="IWPFunction">
    <vt:lpwstr/>
  </property>
  <property fmtid="{D5CDD505-2E9C-101B-9397-08002B2CF9AE}" pid="22" name="lcf76f155ced4ddcb4097134ff3c332f">
    <vt:lpwstr/>
  </property>
  <property fmtid="{D5CDD505-2E9C-101B-9397-08002B2CF9AE}" pid="23" name="IWPSiteType">
    <vt:lpwstr/>
  </property>
  <property fmtid="{D5CDD505-2E9C-101B-9397-08002B2CF9AE}" pid="24" name="IWPRightsProtectiveMarking">
    <vt:lpwstr>1;#Official|0884c477-2e62-47ea-b19c-5af6e91124c5</vt:lpwstr>
  </property>
  <property fmtid="{D5CDD505-2E9C-101B-9397-08002B2CF9AE}" pid="25" name="iff53c19771847b2b9e9ae57df0270ca">
    <vt:lpwstr/>
  </property>
  <property fmtid="{D5CDD505-2E9C-101B-9397-08002B2CF9AE}" pid="26" name="pe36b2407ed34e30a569a2f5acfc7350">
    <vt:lpwstr/>
  </property>
  <property fmtid="{D5CDD505-2E9C-101B-9397-08002B2CF9AE}" pid="27" name="IWPSubject">
    <vt:lpwstr/>
  </property>
</Properties>
</file>