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8D53" w14:textId="77777777" w:rsidR="003306C8" w:rsidRPr="00D37D4C" w:rsidRDefault="003306C8" w:rsidP="00EC2966">
      <w:pPr>
        <w:pStyle w:val="Title"/>
        <w:ind w:firstLine="142"/>
        <w:jc w:val="both"/>
        <w:rPr>
          <w:szCs w:val="24"/>
        </w:rPr>
      </w:pPr>
      <w:r w:rsidRPr="00D37D4C">
        <w:rPr>
          <w:szCs w:val="24"/>
        </w:rPr>
        <w:t>INSTITUTE FOR APPRENTICESHIPS &amp; TECHNICAL EDUCATION BOARD</w:t>
      </w:r>
    </w:p>
    <w:p w14:paraId="658FABD3" w14:textId="77777777" w:rsidR="003306C8" w:rsidRPr="00D37D4C" w:rsidRDefault="003306C8" w:rsidP="00EC2966">
      <w:pPr>
        <w:jc w:val="both"/>
        <w:rPr>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3306C8" w:rsidRPr="00D37D4C" w14:paraId="5521F911" w14:textId="77777777" w:rsidTr="00C824A8">
        <w:tc>
          <w:tcPr>
            <w:tcW w:w="4253" w:type="dxa"/>
            <w:shd w:val="clear" w:color="auto" w:fill="auto"/>
          </w:tcPr>
          <w:p w14:paraId="53BFB576" w14:textId="77777777" w:rsidR="003306C8" w:rsidRPr="00D37D4C" w:rsidRDefault="003306C8" w:rsidP="00EC2966">
            <w:pPr>
              <w:jc w:val="both"/>
              <w:rPr>
                <w:color w:val="4F81BD" w:themeColor="accent1"/>
                <w:szCs w:val="24"/>
              </w:rPr>
            </w:pPr>
            <w:r w:rsidRPr="00D37D4C">
              <w:rPr>
                <w:color w:val="4F81BD" w:themeColor="accent1"/>
                <w:szCs w:val="24"/>
              </w:rPr>
              <w:t>Meeting Title</w:t>
            </w:r>
          </w:p>
        </w:tc>
        <w:tc>
          <w:tcPr>
            <w:tcW w:w="5386" w:type="dxa"/>
            <w:shd w:val="clear" w:color="auto" w:fill="auto"/>
          </w:tcPr>
          <w:p w14:paraId="15EF1FE0" w14:textId="77777777" w:rsidR="003306C8" w:rsidRDefault="003306C8" w:rsidP="00EC2966">
            <w:pPr>
              <w:jc w:val="both"/>
              <w:rPr>
                <w:szCs w:val="24"/>
              </w:rPr>
            </w:pPr>
            <w:r w:rsidRPr="00D37D4C">
              <w:rPr>
                <w:szCs w:val="24"/>
              </w:rPr>
              <w:t>Institute for Apprenticeships &amp; Technical Education Board</w:t>
            </w:r>
          </w:p>
          <w:p w14:paraId="7CA15AB6" w14:textId="49D5461A" w:rsidR="002E5D78" w:rsidRPr="00D37D4C" w:rsidRDefault="002E5D78" w:rsidP="00EC2966">
            <w:pPr>
              <w:jc w:val="both"/>
              <w:rPr>
                <w:szCs w:val="24"/>
              </w:rPr>
            </w:pPr>
          </w:p>
        </w:tc>
      </w:tr>
      <w:tr w:rsidR="003306C8" w:rsidRPr="00D37D4C" w14:paraId="1CAEB11F" w14:textId="77777777" w:rsidTr="00C824A8">
        <w:tc>
          <w:tcPr>
            <w:tcW w:w="4253" w:type="dxa"/>
            <w:shd w:val="clear" w:color="auto" w:fill="auto"/>
          </w:tcPr>
          <w:p w14:paraId="135CF23F" w14:textId="77777777" w:rsidR="003306C8" w:rsidRPr="00D37D4C" w:rsidRDefault="003306C8" w:rsidP="00EC2966">
            <w:pPr>
              <w:jc w:val="both"/>
              <w:rPr>
                <w:color w:val="4F81BD" w:themeColor="accent1"/>
                <w:szCs w:val="24"/>
              </w:rPr>
            </w:pPr>
            <w:r w:rsidRPr="00D37D4C">
              <w:rPr>
                <w:color w:val="4F81BD" w:themeColor="accent1"/>
                <w:szCs w:val="24"/>
              </w:rPr>
              <w:t>Meeting Date</w:t>
            </w:r>
          </w:p>
        </w:tc>
        <w:tc>
          <w:tcPr>
            <w:tcW w:w="5386" w:type="dxa"/>
            <w:shd w:val="clear" w:color="auto" w:fill="auto"/>
          </w:tcPr>
          <w:p w14:paraId="3E48F5C3" w14:textId="77777777" w:rsidR="003306C8" w:rsidRDefault="003306C8" w:rsidP="00EC2966">
            <w:pPr>
              <w:jc w:val="both"/>
              <w:rPr>
                <w:szCs w:val="24"/>
              </w:rPr>
            </w:pPr>
            <w:r>
              <w:rPr>
                <w:szCs w:val="24"/>
              </w:rPr>
              <w:t>2</w:t>
            </w:r>
            <w:r w:rsidR="00463643">
              <w:rPr>
                <w:szCs w:val="24"/>
              </w:rPr>
              <w:t>6</w:t>
            </w:r>
            <w:r>
              <w:rPr>
                <w:szCs w:val="24"/>
              </w:rPr>
              <w:t xml:space="preserve"> January 2022</w:t>
            </w:r>
          </w:p>
          <w:p w14:paraId="6FC61208" w14:textId="11A69258" w:rsidR="002E5D78" w:rsidRPr="00D37D4C" w:rsidRDefault="002E5D78" w:rsidP="00EC2966">
            <w:pPr>
              <w:jc w:val="both"/>
              <w:rPr>
                <w:szCs w:val="24"/>
              </w:rPr>
            </w:pPr>
          </w:p>
        </w:tc>
      </w:tr>
      <w:tr w:rsidR="003306C8" w:rsidRPr="00D37D4C" w14:paraId="75FD16BE" w14:textId="77777777" w:rsidTr="00C824A8">
        <w:tc>
          <w:tcPr>
            <w:tcW w:w="4253" w:type="dxa"/>
            <w:shd w:val="clear" w:color="auto" w:fill="auto"/>
          </w:tcPr>
          <w:p w14:paraId="74CDC19C" w14:textId="77777777" w:rsidR="003306C8" w:rsidRPr="00D37D4C" w:rsidRDefault="003306C8" w:rsidP="00EC2966">
            <w:pPr>
              <w:jc w:val="both"/>
              <w:rPr>
                <w:color w:val="4F81BD" w:themeColor="accent1"/>
                <w:szCs w:val="24"/>
              </w:rPr>
            </w:pPr>
            <w:r w:rsidRPr="00D37D4C">
              <w:rPr>
                <w:color w:val="4F81BD" w:themeColor="accent1"/>
                <w:szCs w:val="24"/>
              </w:rPr>
              <w:t>Protective marking</w:t>
            </w:r>
          </w:p>
        </w:tc>
        <w:tc>
          <w:tcPr>
            <w:tcW w:w="5386" w:type="dxa"/>
            <w:shd w:val="clear" w:color="auto" w:fill="auto"/>
          </w:tcPr>
          <w:p w14:paraId="1489653A" w14:textId="77777777" w:rsidR="003306C8" w:rsidRPr="00D37D4C" w:rsidRDefault="003306C8" w:rsidP="00EC2966">
            <w:pPr>
              <w:jc w:val="both"/>
              <w:rPr>
                <w:szCs w:val="24"/>
              </w:rPr>
            </w:pPr>
            <w:r w:rsidRPr="00D37D4C">
              <w:rPr>
                <w:szCs w:val="24"/>
              </w:rPr>
              <w:t>Official</w:t>
            </w:r>
          </w:p>
        </w:tc>
      </w:tr>
      <w:tr w:rsidR="003306C8" w:rsidRPr="00D37D4C" w14:paraId="6422CA51" w14:textId="77777777" w:rsidTr="00C824A8">
        <w:tc>
          <w:tcPr>
            <w:tcW w:w="4253" w:type="dxa"/>
            <w:shd w:val="clear" w:color="auto" w:fill="auto"/>
          </w:tcPr>
          <w:p w14:paraId="095E6B77" w14:textId="77777777" w:rsidR="003306C8" w:rsidRPr="00D37D4C" w:rsidRDefault="003306C8" w:rsidP="00EC2966">
            <w:pPr>
              <w:jc w:val="both"/>
              <w:rPr>
                <w:color w:val="4F81BD" w:themeColor="accent1"/>
                <w:szCs w:val="24"/>
              </w:rPr>
            </w:pPr>
          </w:p>
        </w:tc>
        <w:tc>
          <w:tcPr>
            <w:tcW w:w="5386" w:type="dxa"/>
            <w:shd w:val="clear" w:color="auto" w:fill="auto"/>
          </w:tcPr>
          <w:p w14:paraId="064D7233" w14:textId="77777777" w:rsidR="003306C8" w:rsidRPr="00D37D4C" w:rsidRDefault="003306C8" w:rsidP="00EC2966">
            <w:pPr>
              <w:jc w:val="both"/>
              <w:rPr>
                <w:szCs w:val="24"/>
              </w:rPr>
            </w:pPr>
          </w:p>
        </w:tc>
      </w:tr>
      <w:tr w:rsidR="003306C8" w:rsidRPr="00D37D4C" w14:paraId="53559420" w14:textId="77777777" w:rsidTr="00C824A8">
        <w:tc>
          <w:tcPr>
            <w:tcW w:w="4253" w:type="dxa"/>
            <w:shd w:val="clear" w:color="auto" w:fill="auto"/>
          </w:tcPr>
          <w:p w14:paraId="25B883AF" w14:textId="77777777" w:rsidR="003306C8" w:rsidRPr="00D37D4C" w:rsidRDefault="003306C8" w:rsidP="00EC2966">
            <w:pPr>
              <w:jc w:val="both"/>
              <w:rPr>
                <w:color w:val="4F81BD" w:themeColor="accent1"/>
                <w:szCs w:val="24"/>
              </w:rPr>
            </w:pPr>
            <w:r w:rsidRPr="00D37D4C">
              <w:rPr>
                <w:color w:val="4F81BD" w:themeColor="accent1"/>
                <w:szCs w:val="24"/>
              </w:rPr>
              <w:t>Board members present</w:t>
            </w:r>
          </w:p>
        </w:tc>
        <w:tc>
          <w:tcPr>
            <w:tcW w:w="5386" w:type="dxa"/>
            <w:shd w:val="clear" w:color="auto" w:fill="auto"/>
          </w:tcPr>
          <w:p w14:paraId="46FA0F3F" w14:textId="77777777" w:rsidR="003306C8" w:rsidRDefault="003306C8" w:rsidP="00EC2966">
            <w:pPr>
              <w:jc w:val="both"/>
              <w:rPr>
                <w:szCs w:val="24"/>
              </w:rPr>
            </w:pPr>
            <w:r w:rsidRPr="004C6BBB">
              <w:rPr>
                <w:szCs w:val="24"/>
              </w:rPr>
              <w:t>Kate Barclay (KB), Dayle Bayliss (DB), Paul Cadman (PC, John Cope (</w:t>
            </w:r>
            <w:proofErr w:type="spellStart"/>
            <w:r w:rsidRPr="004C6BBB">
              <w:rPr>
                <w:szCs w:val="24"/>
              </w:rPr>
              <w:t>JCop</w:t>
            </w:r>
            <w:proofErr w:type="spellEnd"/>
            <w:r w:rsidRPr="004C6BBB">
              <w:rPr>
                <w:szCs w:val="24"/>
              </w:rPr>
              <w:t>)</w:t>
            </w:r>
            <w:r>
              <w:rPr>
                <w:szCs w:val="24"/>
              </w:rPr>
              <w:t xml:space="preserve">, </w:t>
            </w:r>
            <w:r w:rsidRPr="004C6BBB">
              <w:rPr>
                <w:szCs w:val="24"/>
              </w:rPr>
              <w:t>Jennifer Coupland (</w:t>
            </w:r>
            <w:proofErr w:type="spellStart"/>
            <w:r w:rsidRPr="004C6BBB">
              <w:rPr>
                <w:szCs w:val="24"/>
              </w:rPr>
              <w:t>JCou</w:t>
            </w:r>
            <w:proofErr w:type="spellEnd"/>
            <w:r w:rsidRPr="004C6BBB">
              <w:rPr>
                <w:szCs w:val="24"/>
              </w:rPr>
              <w:t xml:space="preserve">), Dame Fiona Kendrick (FK), Jessica Leigh Jones (JLJ), </w:t>
            </w:r>
            <w:r>
              <w:rPr>
                <w:szCs w:val="24"/>
              </w:rPr>
              <w:t>Baroness Ruby McGregor-Smith</w:t>
            </w:r>
            <w:r w:rsidRPr="00D37D4C">
              <w:rPr>
                <w:szCs w:val="24"/>
              </w:rPr>
              <w:t xml:space="preserve"> (</w:t>
            </w:r>
            <w:r>
              <w:rPr>
                <w:szCs w:val="24"/>
              </w:rPr>
              <w:t>t</w:t>
            </w:r>
            <w:r w:rsidRPr="00D37D4C">
              <w:rPr>
                <w:szCs w:val="24"/>
              </w:rPr>
              <w:t xml:space="preserve">he Chair) </w:t>
            </w:r>
            <w:r>
              <w:rPr>
                <w:szCs w:val="24"/>
              </w:rPr>
              <w:t xml:space="preserve">(RMS), </w:t>
            </w:r>
            <w:r w:rsidRPr="004C6BBB">
              <w:rPr>
                <w:szCs w:val="24"/>
              </w:rPr>
              <w:t>Robin Millar (RM), Toby Peyton-Jones (TPJ), Malcolm Press (MP), Bev Robinson (BR)</w:t>
            </w:r>
          </w:p>
          <w:p w14:paraId="32A08686" w14:textId="100911BC" w:rsidR="002E5D78" w:rsidRPr="004C6BBB" w:rsidRDefault="002E5D78" w:rsidP="00EC2966">
            <w:pPr>
              <w:jc w:val="both"/>
              <w:rPr>
                <w:szCs w:val="24"/>
              </w:rPr>
            </w:pPr>
          </w:p>
        </w:tc>
      </w:tr>
      <w:tr w:rsidR="003306C8" w:rsidRPr="00D37D4C" w14:paraId="255D1B7D" w14:textId="77777777" w:rsidTr="00C824A8">
        <w:tc>
          <w:tcPr>
            <w:tcW w:w="4253" w:type="dxa"/>
            <w:shd w:val="clear" w:color="auto" w:fill="auto"/>
          </w:tcPr>
          <w:p w14:paraId="15207A7A" w14:textId="77777777" w:rsidR="003306C8" w:rsidRPr="00D37D4C" w:rsidRDefault="003306C8" w:rsidP="00EC2966">
            <w:pPr>
              <w:jc w:val="both"/>
              <w:rPr>
                <w:color w:val="4F81BD" w:themeColor="accent1"/>
                <w:szCs w:val="24"/>
              </w:rPr>
            </w:pPr>
            <w:r w:rsidRPr="00D37D4C">
              <w:rPr>
                <w:color w:val="4F81BD" w:themeColor="accent1"/>
                <w:szCs w:val="24"/>
              </w:rPr>
              <w:t>Institute officials present</w:t>
            </w:r>
          </w:p>
        </w:tc>
        <w:tc>
          <w:tcPr>
            <w:tcW w:w="5386" w:type="dxa"/>
            <w:shd w:val="clear" w:color="auto" w:fill="auto"/>
          </w:tcPr>
          <w:p w14:paraId="486468BA" w14:textId="40659EAB" w:rsidR="003306C8" w:rsidRDefault="003306C8" w:rsidP="00EC2966">
            <w:pPr>
              <w:jc w:val="both"/>
              <w:rPr>
                <w:szCs w:val="24"/>
              </w:rPr>
            </w:pPr>
            <w:r>
              <w:rPr>
                <w:szCs w:val="24"/>
              </w:rPr>
              <w:t xml:space="preserve">Beth Chaudhary (BC), Rachel Cooper (RC), </w:t>
            </w:r>
            <w:r w:rsidRPr="00F471A7">
              <w:rPr>
                <w:szCs w:val="24"/>
              </w:rPr>
              <w:t xml:space="preserve">Kristofer McGhee (KM), Rob Nitsch (RN), Peter </w:t>
            </w:r>
            <w:proofErr w:type="spellStart"/>
            <w:r w:rsidRPr="00F471A7">
              <w:rPr>
                <w:szCs w:val="24"/>
              </w:rPr>
              <w:t>Schild</w:t>
            </w:r>
            <w:proofErr w:type="spellEnd"/>
            <w:r w:rsidRPr="00F471A7">
              <w:rPr>
                <w:szCs w:val="24"/>
              </w:rPr>
              <w:t xml:space="preserve"> (</w:t>
            </w:r>
            <w:proofErr w:type="spellStart"/>
            <w:r w:rsidRPr="00F471A7">
              <w:rPr>
                <w:szCs w:val="24"/>
              </w:rPr>
              <w:t>PSch</w:t>
            </w:r>
            <w:proofErr w:type="spellEnd"/>
            <w:r w:rsidRPr="00F471A7">
              <w:rPr>
                <w:szCs w:val="24"/>
              </w:rPr>
              <w:t xml:space="preserve">) </w:t>
            </w:r>
          </w:p>
          <w:p w14:paraId="1A074E8C" w14:textId="0227B556" w:rsidR="002E5D78" w:rsidRPr="00F471A7" w:rsidRDefault="002E5D78" w:rsidP="00EC2966">
            <w:pPr>
              <w:jc w:val="both"/>
              <w:rPr>
                <w:szCs w:val="24"/>
              </w:rPr>
            </w:pPr>
          </w:p>
        </w:tc>
      </w:tr>
      <w:tr w:rsidR="003306C8" w:rsidRPr="00D37D4C" w14:paraId="52605015" w14:textId="77777777" w:rsidTr="00C824A8">
        <w:tc>
          <w:tcPr>
            <w:tcW w:w="4253" w:type="dxa"/>
            <w:shd w:val="clear" w:color="auto" w:fill="auto"/>
          </w:tcPr>
          <w:p w14:paraId="7FF460F3" w14:textId="77777777" w:rsidR="003306C8" w:rsidRPr="00D37D4C" w:rsidRDefault="003306C8" w:rsidP="00EC2966">
            <w:pPr>
              <w:jc w:val="both"/>
              <w:rPr>
                <w:color w:val="4F81BD" w:themeColor="accent1"/>
                <w:szCs w:val="24"/>
              </w:rPr>
            </w:pPr>
            <w:r w:rsidRPr="00D37D4C">
              <w:rPr>
                <w:color w:val="4F81BD" w:themeColor="accent1"/>
                <w:szCs w:val="24"/>
              </w:rPr>
              <w:t>Other</w:t>
            </w:r>
            <w:r>
              <w:rPr>
                <w:color w:val="4F81BD" w:themeColor="accent1"/>
                <w:szCs w:val="24"/>
              </w:rPr>
              <w:t xml:space="preserve"> stakeholders</w:t>
            </w:r>
            <w:r w:rsidRPr="00D37D4C">
              <w:rPr>
                <w:color w:val="4F81BD" w:themeColor="accent1"/>
                <w:szCs w:val="24"/>
              </w:rPr>
              <w:t xml:space="preserve"> present</w:t>
            </w:r>
          </w:p>
        </w:tc>
        <w:tc>
          <w:tcPr>
            <w:tcW w:w="5386" w:type="dxa"/>
            <w:shd w:val="clear" w:color="auto" w:fill="auto"/>
          </w:tcPr>
          <w:p w14:paraId="5D38429C" w14:textId="322C964C" w:rsidR="003306C8" w:rsidRPr="002A1721" w:rsidRDefault="003306C8" w:rsidP="00EC2966">
            <w:pPr>
              <w:jc w:val="both"/>
              <w:rPr>
                <w:szCs w:val="24"/>
              </w:rPr>
            </w:pPr>
            <w:r w:rsidRPr="002A1721">
              <w:rPr>
                <w:szCs w:val="24"/>
              </w:rPr>
              <w:t xml:space="preserve">Peter </w:t>
            </w:r>
            <w:proofErr w:type="spellStart"/>
            <w:r w:rsidRPr="002A1721">
              <w:rPr>
                <w:szCs w:val="24"/>
              </w:rPr>
              <w:t>Mucklow</w:t>
            </w:r>
            <w:proofErr w:type="spellEnd"/>
            <w:r w:rsidRPr="002A1721">
              <w:rPr>
                <w:szCs w:val="24"/>
              </w:rPr>
              <w:t xml:space="preserve"> (PM) (ESFA)</w:t>
            </w:r>
            <w:r w:rsidR="008601DC">
              <w:rPr>
                <w:szCs w:val="24"/>
              </w:rPr>
              <w:t xml:space="preserve"> Karen Riley (ESFA)</w:t>
            </w:r>
            <w:r w:rsidR="00F73FD3">
              <w:rPr>
                <w:szCs w:val="24"/>
              </w:rPr>
              <w:t xml:space="preserve"> </w:t>
            </w:r>
          </w:p>
        </w:tc>
      </w:tr>
    </w:tbl>
    <w:p w14:paraId="766EFD12" w14:textId="77777777" w:rsidR="00F70C1B" w:rsidRPr="00D37D4C" w:rsidRDefault="00F70C1B" w:rsidP="00EC2966">
      <w:pPr>
        <w:jc w:val="both"/>
        <w:rPr>
          <w:szCs w:val="24"/>
        </w:rPr>
      </w:pPr>
    </w:p>
    <w:p w14:paraId="4E06F3DA" w14:textId="77777777" w:rsidR="003306C8" w:rsidRPr="00D37D4C" w:rsidRDefault="003306C8" w:rsidP="00EC2966">
      <w:pPr>
        <w:pStyle w:val="DeptBullets"/>
        <w:numPr>
          <w:ilvl w:val="0"/>
          <w:numId w:val="0"/>
        </w:numPr>
        <w:spacing w:after="120" w:line="360" w:lineRule="auto"/>
        <w:jc w:val="both"/>
        <w:rPr>
          <w:b/>
          <w:szCs w:val="24"/>
        </w:rPr>
      </w:pPr>
      <w:r w:rsidRPr="00D37D4C">
        <w:rPr>
          <w:b/>
          <w:szCs w:val="24"/>
        </w:rPr>
        <w:t>Welcome and Introductions/declarations of interest</w:t>
      </w:r>
    </w:p>
    <w:p w14:paraId="2887257E" w14:textId="77777777" w:rsidR="00244520" w:rsidRPr="001F3D79" w:rsidRDefault="00244520" w:rsidP="00244520">
      <w:pPr>
        <w:pStyle w:val="DeptBullets"/>
        <w:widowControl w:val="0"/>
        <w:numPr>
          <w:ilvl w:val="0"/>
          <w:numId w:val="9"/>
        </w:numPr>
        <w:overflowPunct w:val="0"/>
        <w:autoSpaceDE w:val="0"/>
        <w:autoSpaceDN w:val="0"/>
        <w:adjustRightInd w:val="0"/>
        <w:spacing w:line="360" w:lineRule="auto"/>
        <w:ind w:left="425" w:hanging="425"/>
        <w:textAlignment w:val="baseline"/>
        <w:rPr>
          <w:szCs w:val="24"/>
        </w:rPr>
      </w:pPr>
      <w:r>
        <w:rPr>
          <w:szCs w:val="24"/>
        </w:rPr>
        <w:t>Baroness Ruby McGregor-Smith</w:t>
      </w:r>
      <w:r w:rsidRPr="00D37D4C">
        <w:rPr>
          <w:szCs w:val="24"/>
        </w:rPr>
        <w:t xml:space="preserve"> (</w:t>
      </w:r>
      <w:r>
        <w:rPr>
          <w:szCs w:val="24"/>
        </w:rPr>
        <w:t>t</w:t>
      </w:r>
      <w:r w:rsidRPr="00D37D4C">
        <w:rPr>
          <w:szCs w:val="24"/>
        </w:rPr>
        <w:t xml:space="preserve">he Chair) welcomed </w:t>
      </w:r>
      <w:r>
        <w:rPr>
          <w:szCs w:val="24"/>
        </w:rPr>
        <w:t>B</w:t>
      </w:r>
      <w:r w:rsidRPr="00D37D4C">
        <w:rPr>
          <w:szCs w:val="24"/>
        </w:rPr>
        <w:t>oard members and participating officials to the meeting</w:t>
      </w:r>
      <w:r>
        <w:rPr>
          <w:szCs w:val="24"/>
        </w:rPr>
        <w:t xml:space="preserve">. </w:t>
      </w:r>
    </w:p>
    <w:p w14:paraId="611CAFAA" w14:textId="2EBD78A3" w:rsidR="003306C8" w:rsidRDefault="00244520" w:rsidP="002C4497">
      <w:pPr>
        <w:pStyle w:val="DeptBullets"/>
        <w:widowControl w:val="0"/>
        <w:numPr>
          <w:ilvl w:val="0"/>
          <w:numId w:val="9"/>
        </w:numPr>
        <w:overflowPunct w:val="0"/>
        <w:autoSpaceDE w:val="0"/>
        <w:autoSpaceDN w:val="0"/>
        <w:adjustRightInd w:val="0"/>
        <w:spacing w:before="0" w:after="0" w:line="360" w:lineRule="auto"/>
        <w:ind w:left="426" w:hanging="426"/>
        <w:textAlignment w:val="baseline"/>
        <w:rPr>
          <w:szCs w:val="24"/>
        </w:rPr>
      </w:pPr>
      <w:r w:rsidRPr="00D37D4C">
        <w:rPr>
          <w:szCs w:val="24"/>
        </w:rPr>
        <w:t xml:space="preserve">The Chair asked </w:t>
      </w:r>
      <w:r>
        <w:rPr>
          <w:szCs w:val="24"/>
        </w:rPr>
        <w:t>B</w:t>
      </w:r>
      <w:r w:rsidRPr="00D37D4C">
        <w:rPr>
          <w:szCs w:val="24"/>
        </w:rPr>
        <w:t xml:space="preserve">oard members whether they had any </w:t>
      </w:r>
      <w:r>
        <w:rPr>
          <w:szCs w:val="24"/>
        </w:rPr>
        <w:t>declarations</w:t>
      </w:r>
      <w:r w:rsidRPr="00D37D4C">
        <w:rPr>
          <w:szCs w:val="24"/>
        </w:rPr>
        <w:t xml:space="preserve"> of interest to </w:t>
      </w:r>
      <w:r>
        <w:rPr>
          <w:szCs w:val="24"/>
        </w:rPr>
        <w:t>make</w:t>
      </w:r>
      <w:r w:rsidRPr="00D37D4C">
        <w:rPr>
          <w:szCs w:val="24"/>
        </w:rPr>
        <w:t xml:space="preserve">. </w:t>
      </w:r>
      <w:bookmarkStart w:id="0" w:name="_Hlk50734425"/>
      <w:r w:rsidRPr="00F835DD">
        <w:rPr>
          <w:szCs w:val="24"/>
        </w:rPr>
        <w:t>All Board members recognised that should a potential or actual conflict arise by virtue of their other interests (outlined in the declaration of interests) then it must be raised at the outset of the relevant meeting which deals with the issue giving rise to the actual or potential conflict. No interests were declared for this meeting.</w:t>
      </w:r>
      <w:bookmarkEnd w:id="0"/>
    </w:p>
    <w:p w14:paraId="35C9C8BA" w14:textId="77777777" w:rsidR="002C4497" w:rsidRPr="002C4497" w:rsidRDefault="002C4497" w:rsidP="002C4497">
      <w:pPr>
        <w:pStyle w:val="DeptBullets"/>
        <w:widowControl w:val="0"/>
        <w:numPr>
          <w:ilvl w:val="0"/>
          <w:numId w:val="0"/>
        </w:numPr>
        <w:overflowPunct w:val="0"/>
        <w:autoSpaceDE w:val="0"/>
        <w:autoSpaceDN w:val="0"/>
        <w:adjustRightInd w:val="0"/>
        <w:spacing w:before="0" w:after="0" w:line="360" w:lineRule="auto"/>
        <w:ind w:left="426"/>
        <w:textAlignment w:val="baseline"/>
        <w:rPr>
          <w:szCs w:val="24"/>
        </w:rPr>
      </w:pPr>
    </w:p>
    <w:p w14:paraId="248BFFB3" w14:textId="3B206AB2" w:rsidR="003306C8" w:rsidRPr="00F835DD" w:rsidRDefault="003306C8" w:rsidP="00EC2966">
      <w:pPr>
        <w:pStyle w:val="DeptBullets"/>
        <w:numPr>
          <w:ilvl w:val="0"/>
          <w:numId w:val="0"/>
        </w:numPr>
        <w:spacing w:after="120" w:line="360" w:lineRule="auto"/>
        <w:jc w:val="both"/>
        <w:rPr>
          <w:b/>
          <w:bCs/>
          <w:szCs w:val="24"/>
        </w:rPr>
      </w:pPr>
      <w:r w:rsidRPr="00F835DD">
        <w:rPr>
          <w:b/>
          <w:bCs/>
          <w:szCs w:val="24"/>
        </w:rPr>
        <w:t xml:space="preserve">Learner </w:t>
      </w:r>
      <w:r w:rsidR="0038021D" w:rsidRPr="00F835DD">
        <w:rPr>
          <w:b/>
          <w:bCs/>
          <w:szCs w:val="24"/>
        </w:rPr>
        <w:t>s</w:t>
      </w:r>
      <w:r w:rsidRPr="00F835DD">
        <w:rPr>
          <w:b/>
          <w:bCs/>
          <w:szCs w:val="24"/>
        </w:rPr>
        <w:t>tory</w:t>
      </w:r>
    </w:p>
    <w:p w14:paraId="516A42EA" w14:textId="26D3FAA5" w:rsidR="00244520" w:rsidRPr="00244520" w:rsidRDefault="00244520" w:rsidP="00244520">
      <w:pPr>
        <w:pStyle w:val="DeptBullets"/>
        <w:widowControl w:val="0"/>
        <w:numPr>
          <w:ilvl w:val="0"/>
          <w:numId w:val="9"/>
        </w:numPr>
        <w:overflowPunct w:val="0"/>
        <w:autoSpaceDE w:val="0"/>
        <w:autoSpaceDN w:val="0"/>
        <w:adjustRightInd w:val="0"/>
        <w:spacing w:before="0" w:line="360" w:lineRule="auto"/>
        <w:ind w:left="426" w:hanging="426"/>
        <w:textAlignment w:val="baseline"/>
        <w:rPr>
          <w:szCs w:val="24"/>
        </w:rPr>
      </w:pPr>
      <w:r>
        <w:rPr>
          <w:szCs w:val="24"/>
        </w:rPr>
        <w:t>The Board welcomed</w:t>
      </w:r>
      <w:r w:rsidRPr="00F835DD">
        <w:rPr>
          <w:szCs w:val="24"/>
        </w:rPr>
        <w:t xml:space="preserve"> </w:t>
      </w:r>
      <w:r w:rsidRPr="00F835DD">
        <w:t xml:space="preserve">an apprentice who explained why the apprenticeship route was preferred, after becoming dissatisfied with studying for a degree in the conventional manner. The learner’s apprenticeship was in the rail industry, which built upon </w:t>
      </w:r>
      <w:r w:rsidRPr="00F835DD">
        <w:lastRenderedPageBreak/>
        <w:t>previous interests introduced to her by family.</w:t>
      </w:r>
      <w:r>
        <w:rPr>
          <w:szCs w:val="24"/>
        </w:rPr>
        <w:t xml:space="preserve"> </w:t>
      </w:r>
    </w:p>
    <w:p w14:paraId="18827CBF" w14:textId="77777777" w:rsidR="00295635" w:rsidRPr="00295635" w:rsidRDefault="00244520" w:rsidP="00244520">
      <w:pPr>
        <w:pStyle w:val="DeptBullets"/>
        <w:widowControl w:val="0"/>
        <w:numPr>
          <w:ilvl w:val="0"/>
          <w:numId w:val="9"/>
        </w:numPr>
        <w:overflowPunct w:val="0"/>
        <w:autoSpaceDE w:val="0"/>
        <w:autoSpaceDN w:val="0"/>
        <w:adjustRightInd w:val="0"/>
        <w:spacing w:before="0" w:line="360" w:lineRule="auto"/>
        <w:ind w:left="426" w:hanging="426"/>
        <w:textAlignment w:val="baseline"/>
        <w:rPr>
          <w:b/>
          <w:bCs/>
          <w:szCs w:val="24"/>
        </w:rPr>
      </w:pPr>
      <w:r>
        <w:rPr>
          <w:szCs w:val="24"/>
        </w:rPr>
        <w:t xml:space="preserve">The apprentice’s experience was mainly positive, but she did have difficulties with the service provided by her training provider. She noted that despite her issue being resolved after providing feedback, the same problem was not addressed for others in her cohort. She also reported that her progress was hindered by a delay of several months to her End Point Assessment being marked, meaning she could not move to the next level in line with her plans. </w:t>
      </w:r>
    </w:p>
    <w:p w14:paraId="1C9B85BB" w14:textId="42AA7A98" w:rsidR="008C7906" w:rsidRPr="002E5D78" w:rsidRDefault="00936E14" w:rsidP="002E5D78">
      <w:pPr>
        <w:pStyle w:val="DeptBullets"/>
        <w:numPr>
          <w:ilvl w:val="0"/>
          <w:numId w:val="9"/>
        </w:numPr>
        <w:spacing w:line="360" w:lineRule="auto"/>
        <w:jc w:val="both"/>
      </w:pPr>
      <w:r w:rsidRPr="002E5D78">
        <w:t>The apprentice</w:t>
      </w:r>
      <w:r w:rsidR="00681F0E" w:rsidRPr="002E5D78">
        <w:t xml:space="preserve"> felt that</w:t>
      </w:r>
      <w:r w:rsidR="00023AAF" w:rsidRPr="002E5D78">
        <w:t xml:space="preserve"> </w:t>
      </w:r>
      <w:r w:rsidR="00305A09" w:rsidRPr="002E5D78">
        <w:t xml:space="preserve">regular contact </w:t>
      </w:r>
      <w:r w:rsidRPr="002E5D78">
        <w:t>between apprentices and</w:t>
      </w:r>
      <w:r w:rsidR="00305A09" w:rsidRPr="002E5D78">
        <w:t xml:space="preserve"> training provider</w:t>
      </w:r>
      <w:r w:rsidRPr="002E5D78">
        <w:t>s</w:t>
      </w:r>
      <w:r w:rsidR="00305A09" w:rsidRPr="002E5D78">
        <w:t xml:space="preserve"> </w:t>
      </w:r>
      <w:r w:rsidRPr="002E5D78">
        <w:t xml:space="preserve">and strengthening the feedback loop </w:t>
      </w:r>
      <w:r w:rsidR="00305A09" w:rsidRPr="002E5D78">
        <w:t xml:space="preserve">would </w:t>
      </w:r>
      <w:r w:rsidRPr="002E5D78">
        <w:t>give apprentices confidence that their</w:t>
      </w:r>
      <w:r w:rsidR="00A5523E" w:rsidRPr="002E5D78">
        <w:t xml:space="preserve"> concerns</w:t>
      </w:r>
      <w:r w:rsidRPr="002E5D78">
        <w:t xml:space="preserve"> would be addressed</w:t>
      </w:r>
      <w:r w:rsidR="00A5523E" w:rsidRPr="002E5D78">
        <w:t xml:space="preserve">. </w:t>
      </w:r>
    </w:p>
    <w:p w14:paraId="28372160" w14:textId="726911EA" w:rsidR="003306C8" w:rsidRDefault="007E1D14" w:rsidP="008C3A96">
      <w:pPr>
        <w:pStyle w:val="DeptBullets"/>
        <w:numPr>
          <w:ilvl w:val="0"/>
          <w:numId w:val="9"/>
        </w:numPr>
        <w:spacing w:line="360" w:lineRule="auto"/>
        <w:jc w:val="both"/>
      </w:pPr>
      <w:r w:rsidRPr="002E5D78">
        <w:t xml:space="preserve">A suggestion was made to introduce </w:t>
      </w:r>
      <w:r w:rsidR="0096789C" w:rsidRPr="002E5D78">
        <w:t xml:space="preserve">a platform </w:t>
      </w:r>
      <w:proofErr w:type="gramStart"/>
      <w:r w:rsidR="0096789C" w:rsidRPr="002E5D78">
        <w:t>similar to</w:t>
      </w:r>
      <w:proofErr w:type="gramEnd"/>
      <w:r w:rsidR="0096789C" w:rsidRPr="002E5D78">
        <w:t xml:space="preserve"> models like Trip Advisor, where </w:t>
      </w:r>
      <w:r w:rsidR="00F36214">
        <w:t xml:space="preserve">apprentices </w:t>
      </w:r>
      <w:r w:rsidR="0096789C" w:rsidRPr="002E5D78">
        <w:t>could submit reviews of their experience</w:t>
      </w:r>
      <w:r w:rsidR="00F36214">
        <w:t xml:space="preserve"> with particular training providers</w:t>
      </w:r>
      <w:r w:rsidR="0096789C" w:rsidRPr="002E5D78">
        <w:t xml:space="preserve">. </w:t>
      </w:r>
    </w:p>
    <w:p w14:paraId="66083883" w14:textId="4D582D2C" w:rsidR="003306C8" w:rsidRPr="005B67C5" w:rsidRDefault="003306C8" w:rsidP="00EC2966">
      <w:pPr>
        <w:pStyle w:val="DeptBullets"/>
        <w:numPr>
          <w:ilvl w:val="0"/>
          <w:numId w:val="0"/>
        </w:numPr>
        <w:spacing w:after="120" w:line="360" w:lineRule="auto"/>
        <w:jc w:val="both"/>
        <w:rPr>
          <w:b/>
          <w:bCs/>
          <w:szCs w:val="24"/>
        </w:rPr>
      </w:pPr>
      <w:r w:rsidRPr="005B67C5">
        <w:rPr>
          <w:b/>
          <w:bCs/>
          <w:szCs w:val="24"/>
        </w:rPr>
        <w:t xml:space="preserve">Minutes and </w:t>
      </w:r>
      <w:r w:rsidR="0038021D" w:rsidRPr="005B67C5">
        <w:rPr>
          <w:b/>
          <w:bCs/>
          <w:szCs w:val="24"/>
        </w:rPr>
        <w:t>actions from the last meeting</w:t>
      </w:r>
    </w:p>
    <w:p w14:paraId="2082C9EF" w14:textId="0905EE7F" w:rsidR="00833D8F" w:rsidRPr="008C3A96" w:rsidRDefault="00DD05FC" w:rsidP="008C3A96">
      <w:pPr>
        <w:pStyle w:val="DeptBullets"/>
        <w:numPr>
          <w:ilvl w:val="0"/>
          <w:numId w:val="9"/>
        </w:numPr>
        <w:spacing w:line="360" w:lineRule="auto"/>
        <w:jc w:val="both"/>
      </w:pPr>
      <w:r w:rsidRPr="002E5D78">
        <w:t>A query was raised about point 9</w:t>
      </w:r>
      <w:r w:rsidR="008B2ADD" w:rsidRPr="002E5D78">
        <w:t xml:space="preserve"> in the minutes</w:t>
      </w:r>
      <w:r w:rsidR="002C2E1D" w:rsidRPr="002E5D78">
        <w:t xml:space="preserve">, which </w:t>
      </w:r>
      <w:r w:rsidRPr="002E5D78">
        <w:t xml:space="preserve">would be checked and </w:t>
      </w:r>
      <w:r w:rsidR="008B2ADD" w:rsidRPr="002E5D78">
        <w:t>clarifi</w:t>
      </w:r>
      <w:r w:rsidRPr="002E5D78">
        <w:t>ed. A request was made to make the minutes more concise</w:t>
      </w:r>
      <w:r w:rsidR="008B2ADD" w:rsidRPr="002E5D78">
        <w:t xml:space="preserve"> with a separate</w:t>
      </w:r>
      <w:r w:rsidRPr="002E5D78">
        <w:t xml:space="preserve"> action list </w:t>
      </w:r>
      <w:r w:rsidR="008B2ADD" w:rsidRPr="002E5D78">
        <w:t>annexed.</w:t>
      </w:r>
      <w:r w:rsidR="00034F4C" w:rsidRPr="002E5D78">
        <w:t xml:space="preserve"> </w:t>
      </w:r>
      <w:r w:rsidR="00F36214">
        <w:t>The Legal and Governance Division</w:t>
      </w:r>
      <w:r w:rsidR="00034F4C" w:rsidRPr="002E5D78">
        <w:t xml:space="preserve"> would review the minutes and make the requested changes. </w:t>
      </w:r>
    </w:p>
    <w:p w14:paraId="327D50EE" w14:textId="1D687425" w:rsidR="003306C8" w:rsidRPr="009B7ED7" w:rsidRDefault="0038021D" w:rsidP="00EC2966">
      <w:pPr>
        <w:pStyle w:val="DeptBullets"/>
        <w:numPr>
          <w:ilvl w:val="0"/>
          <w:numId w:val="0"/>
        </w:numPr>
        <w:spacing w:after="120" w:line="360" w:lineRule="auto"/>
        <w:jc w:val="both"/>
        <w:rPr>
          <w:b/>
          <w:bCs/>
          <w:szCs w:val="24"/>
        </w:rPr>
      </w:pPr>
      <w:r>
        <w:rPr>
          <w:b/>
          <w:bCs/>
          <w:szCs w:val="24"/>
        </w:rPr>
        <w:t>Delivering apprenticeship quality</w:t>
      </w:r>
    </w:p>
    <w:p w14:paraId="0C969833" w14:textId="06D6F11D" w:rsidR="003306C8" w:rsidRPr="002E5D78" w:rsidRDefault="00A5523E" w:rsidP="002E5D78">
      <w:pPr>
        <w:pStyle w:val="DeptBullets"/>
        <w:numPr>
          <w:ilvl w:val="0"/>
          <w:numId w:val="9"/>
        </w:numPr>
        <w:spacing w:line="360" w:lineRule="auto"/>
        <w:jc w:val="both"/>
      </w:pPr>
      <w:r w:rsidRPr="002E5D78">
        <w:t xml:space="preserve">PM and KR led the presentation on the delivery of apprenticeships. </w:t>
      </w:r>
      <w:r w:rsidR="001C5D84" w:rsidRPr="002E5D78">
        <w:t xml:space="preserve">The Board </w:t>
      </w:r>
      <w:r w:rsidR="00DA1A4C" w:rsidRPr="002E5D78">
        <w:t>was</w:t>
      </w:r>
      <w:r w:rsidR="001C5D84" w:rsidRPr="002E5D78">
        <w:t xml:space="preserve"> </w:t>
      </w:r>
      <w:r w:rsidR="00D5296B">
        <w:t xml:space="preserve">invited </w:t>
      </w:r>
      <w:r w:rsidR="001C5D84" w:rsidRPr="002E5D78">
        <w:t xml:space="preserve">to consider </w:t>
      </w:r>
      <w:r w:rsidR="00AB58BB" w:rsidRPr="002E5D78">
        <w:t xml:space="preserve">what action could be taken to </w:t>
      </w:r>
      <w:r w:rsidR="00DA1A4C" w:rsidRPr="002E5D78">
        <w:t xml:space="preserve">help training providers deliver high quality apprenticeships. </w:t>
      </w:r>
    </w:p>
    <w:p w14:paraId="0727D4AC" w14:textId="4BD719D4" w:rsidR="002E5D78" w:rsidRPr="002E5D78" w:rsidRDefault="0075559B" w:rsidP="002E5D78">
      <w:pPr>
        <w:pStyle w:val="DeptBullets"/>
        <w:numPr>
          <w:ilvl w:val="0"/>
          <w:numId w:val="9"/>
        </w:numPr>
        <w:spacing w:line="360" w:lineRule="auto"/>
        <w:jc w:val="both"/>
      </w:pPr>
      <w:r w:rsidRPr="002E5D78">
        <w:t xml:space="preserve">The Chair </w:t>
      </w:r>
      <w:r w:rsidR="00DC2B89" w:rsidRPr="002E5D78">
        <w:t xml:space="preserve">observed </w:t>
      </w:r>
      <w:r w:rsidRPr="002E5D78">
        <w:t xml:space="preserve">that it would be </w:t>
      </w:r>
      <w:r w:rsidR="00DC2B89" w:rsidRPr="002E5D78">
        <w:t xml:space="preserve">helpful </w:t>
      </w:r>
      <w:r w:rsidR="00DE394C" w:rsidRPr="002E5D78">
        <w:t xml:space="preserve">for employers and apprentices </w:t>
      </w:r>
      <w:r w:rsidRPr="002E5D78">
        <w:t xml:space="preserve">to know </w:t>
      </w:r>
      <w:r w:rsidR="00DE394C" w:rsidRPr="002E5D78">
        <w:t xml:space="preserve">if </w:t>
      </w:r>
      <w:r w:rsidR="00B44FDD" w:rsidRPr="002E5D78">
        <w:t xml:space="preserve">a training </w:t>
      </w:r>
      <w:r w:rsidR="00DE394C" w:rsidRPr="002E5D78">
        <w:t xml:space="preserve">provider </w:t>
      </w:r>
      <w:r w:rsidR="00B44FDD" w:rsidRPr="002E5D78">
        <w:t xml:space="preserve">was a good one and </w:t>
      </w:r>
      <w:r w:rsidR="00DE394C" w:rsidRPr="002E5D78">
        <w:t>queried if</w:t>
      </w:r>
      <w:r w:rsidR="00B44FDD" w:rsidRPr="002E5D78">
        <w:t xml:space="preserve"> </w:t>
      </w:r>
      <w:r w:rsidR="00E36DFB" w:rsidRPr="002E5D78">
        <w:t xml:space="preserve">a ranked list of training providers </w:t>
      </w:r>
      <w:r w:rsidR="00B44FDD" w:rsidRPr="002E5D78">
        <w:t xml:space="preserve">was being planned and when it would be available. </w:t>
      </w:r>
      <w:r w:rsidR="004623E6" w:rsidRPr="002E5D78">
        <w:t xml:space="preserve">PM stated that this was being worked on. </w:t>
      </w:r>
    </w:p>
    <w:p w14:paraId="706F9C15" w14:textId="1E167C2A" w:rsidR="004623E6" w:rsidRPr="002E5D78" w:rsidRDefault="004623E6" w:rsidP="002E5D78">
      <w:pPr>
        <w:pStyle w:val="DeptBullets"/>
        <w:numPr>
          <w:ilvl w:val="0"/>
          <w:numId w:val="9"/>
        </w:numPr>
        <w:spacing w:line="360" w:lineRule="auto"/>
        <w:jc w:val="both"/>
      </w:pPr>
      <w:r w:rsidRPr="002E5D78">
        <w:t>The Board</w:t>
      </w:r>
      <w:r w:rsidR="00572931" w:rsidRPr="002E5D78">
        <w:t xml:space="preserve"> was</w:t>
      </w:r>
      <w:r w:rsidR="0072799F" w:rsidRPr="002E5D78">
        <w:t xml:space="preserve"> </w:t>
      </w:r>
      <w:r w:rsidRPr="002E5D78">
        <w:t xml:space="preserve">advised of the cooperative responsibility of </w:t>
      </w:r>
      <w:r w:rsidR="008F5392" w:rsidRPr="002E5D78">
        <w:t xml:space="preserve">training providers and employers to make sure that </w:t>
      </w:r>
      <w:r w:rsidR="00354299" w:rsidRPr="002E5D78">
        <w:t xml:space="preserve">training </w:t>
      </w:r>
      <w:r w:rsidR="008F5392" w:rsidRPr="002E5D78">
        <w:t xml:space="preserve">standards remained high. </w:t>
      </w:r>
    </w:p>
    <w:p w14:paraId="0A963312" w14:textId="34923AB1" w:rsidR="00D310E1" w:rsidRPr="002E5D78" w:rsidRDefault="00D310E1" w:rsidP="002E5D78">
      <w:pPr>
        <w:pStyle w:val="DeptBullets"/>
        <w:numPr>
          <w:ilvl w:val="0"/>
          <w:numId w:val="9"/>
        </w:numPr>
        <w:spacing w:line="360" w:lineRule="auto"/>
        <w:jc w:val="both"/>
      </w:pPr>
      <w:r w:rsidRPr="002E5D78">
        <w:t xml:space="preserve">Transparency of ratings </w:t>
      </w:r>
      <w:r w:rsidR="00AE773B" w:rsidRPr="002E5D78">
        <w:t xml:space="preserve">for training providers </w:t>
      </w:r>
      <w:r w:rsidRPr="002E5D78">
        <w:t xml:space="preserve">was also </w:t>
      </w:r>
      <w:r w:rsidR="00F1165B" w:rsidRPr="002E5D78">
        <w:t xml:space="preserve">discussed. </w:t>
      </w:r>
      <w:r w:rsidR="00AE773B" w:rsidRPr="002E5D78">
        <w:t>Potential students and employers would</w:t>
      </w:r>
      <w:r w:rsidR="00D5296B">
        <w:t xml:space="preserve"> likely</w:t>
      </w:r>
      <w:r w:rsidR="00AE773B" w:rsidRPr="002E5D78">
        <w:t xml:space="preserve"> find this useful as</w:t>
      </w:r>
      <w:r w:rsidR="009E1711" w:rsidRPr="002E5D78">
        <w:t xml:space="preserve"> a tool to decide on the most suitable training provider. </w:t>
      </w:r>
      <w:r w:rsidR="003E6150">
        <w:t xml:space="preserve">This would mean any rating system would need to be available by </w:t>
      </w:r>
      <w:r w:rsidR="003E6150">
        <w:lastRenderedPageBreak/>
        <w:t>qualification/subject type as well as provider, with the ability to compare different providers of the same offering.</w:t>
      </w:r>
    </w:p>
    <w:p w14:paraId="7BA1C9C1" w14:textId="04A00658" w:rsidR="003C1950" w:rsidRPr="008C3A96" w:rsidRDefault="003E6150" w:rsidP="008C3A96">
      <w:pPr>
        <w:pStyle w:val="DeptBullets"/>
        <w:numPr>
          <w:ilvl w:val="0"/>
          <w:numId w:val="9"/>
        </w:numPr>
        <w:spacing w:line="360" w:lineRule="auto"/>
        <w:jc w:val="both"/>
      </w:pPr>
      <w:r>
        <w:t xml:space="preserve">There was agreement around the importance of data, in particular our ability to see outcomes for students/apprentices beyond the life of their studies. This would include further data on roles undertaken and associated wages, which could prove useful indicators of success and quality of a </w:t>
      </w:r>
      <w:r w:rsidR="00063CB3">
        <w:t xml:space="preserve">qualification. </w:t>
      </w:r>
      <w:r w:rsidR="00D52396" w:rsidRPr="002E5D78">
        <w:t>H</w:t>
      </w:r>
      <w:r w:rsidR="009D0B4A" w:rsidRPr="002E5D78">
        <w:t xml:space="preserve">owever, it was observed that </w:t>
      </w:r>
      <w:r w:rsidR="00063CB3">
        <w:t xml:space="preserve">whilst vast quantities of </w:t>
      </w:r>
      <w:r w:rsidR="009D0B4A" w:rsidRPr="002E5D78">
        <w:t xml:space="preserve">data </w:t>
      </w:r>
      <w:r w:rsidR="00063CB3">
        <w:t>currently held through the LEO dataset, it could be better utilised in this respect</w:t>
      </w:r>
      <w:r w:rsidR="00A87CB5" w:rsidRPr="002E5D78">
        <w:t>.</w:t>
      </w:r>
      <w:r w:rsidR="009344CD" w:rsidRPr="002E5D78">
        <w:t xml:space="preserve"> A suggestion was made to make the data </w:t>
      </w:r>
      <w:r w:rsidR="00B07FD1" w:rsidRPr="002E5D78">
        <w:t>publicly available</w:t>
      </w:r>
      <w:r w:rsidR="00063CB3">
        <w:t xml:space="preserve"> which </w:t>
      </w:r>
      <w:r w:rsidR="00B07FD1" w:rsidRPr="002E5D78">
        <w:t xml:space="preserve">could then be used to set quantifiable goals, </w:t>
      </w:r>
      <w:r w:rsidR="00544CD1" w:rsidRPr="002E5D78">
        <w:t xml:space="preserve">that </w:t>
      </w:r>
      <w:r w:rsidR="00B07FD1" w:rsidRPr="002E5D78">
        <w:t>would in turn</w:t>
      </w:r>
      <w:r w:rsidR="00544CD1" w:rsidRPr="002E5D78">
        <w:t xml:space="preserve">, </w:t>
      </w:r>
      <w:r w:rsidR="00B07FD1" w:rsidRPr="002E5D78">
        <w:t>encourage training providers to improve</w:t>
      </w:r>
      <w:r w:rsidR="00544CD1" w:rsidRPr="002E5D78">
        <w:t xml:space="preserve"> their</w:t>
      </w:r>
      <w:r w:rsidR="00B07FD1" w:rsidRPr="002E5D78">
        <w:t xml:space="preserve"> standard</w:t>
      </w:r>
      <w:r w:rsidR="00063CB3">
        <w:t>.</w:t>
      </w:r>
    </w:p>
    <w:p w14:paraId="704C58A5" w14:textId="635DD7A7" w:rsidR="003306C8" w:rsidRPr="00166E19" w:rsidRDefault="0038021D" w:rsidP="00EC2966">
      <w:pPr>
        <w:pStyle w:val="DeptBullets"/>
        <w:numPr>
          <w:ilvl w:val="0"/>
          <w:numId w:val="0"/>
        </w:numPr>
        <w:spacing w:after="120" w:line="360" w:lineRule="auto"/>
        <w:jc w:val="both"/>
        <w:rPr>
          <w:b/>
          <w:bCs/>
          <w:szCs w:val="24"/>
        </w:rPr>
      </w:pPr>
      <w:r>
        <w:rPr>
          <w:b/>
          <w:bCs/>
          <w:szCs w:val="24"/>
        </w:rPr>
        <w:t>Roadmap for 2022</w:t>
      </w:r>
      <w:r w:rsidR="00063CB3">
        <w:rPr>
          <w:b/>
          <w:bCs/>
          <w:szCs w:val="24"/>
        </w:rPr>
        <w:t>-</w:t>
      </w:r>
      <w:r>
        <w:rPr>
          <w:b/>
          <w:bCs/>
          <w:szCs w:val="24"/>
        </w:rPr>
        <w:t>23, Strategic guidance and spending review: 202</w:t>
      </w:r>
      <w:r w:rsidR="00063CB3">
        <w:rPr>
          <w:b/>
          <w:bCs/>
          <w:szCs w:val="24"/>
        </w:rPr>
        <w:t>1-</w:t>
      </w:r>
      <w:r>
        <w:rPr>
          <w:b/>
          <w:bCs/>
          <w:szCs w:val="24"/>
        </w:rPr>
        <w:t>22 onwards</w:t>
      </w:r>
    </w:p>
    <w:p w14:paraId="7F5C8467" w14:textId="7AF77A42" w:rsidR="002C4497" w:rsidRPr="005B67C5" w:rsidRDefault="008A303F" w:rsidP="00987783">
      <w:pPr>
        <w:pStyle w:val="DeptBullets"/>
        <w:numPr>
          <w:ilvl w:val="0"/>
          <w:numId w:val="9"/>
        </w:numPr>
        <w:spacing w:before="120" w:after="120" w:line="360" w:lineRule="auto"/>
        <w:ind w:left="357" w:hanging="357"/>
        <w:jc w:val="both"/>
      </w:pPr>
      <w:r w:rsidRPr="005B67C5">
        <w:t xml:space="preserve">The Board was advised that the outcome of the spending review was pending. </w:t>
      </w:r>
      <w:r w:rsidR="00373C4C" w:rsidRPr="005B67C5">
        <w:t xml:space="preserve">PS and JC were confident that a strong case was made. </w:t>
      </w:r>
    </w:p>
    <w:p w14:paraId="12DD1B23" w14:textId="32264808" w:rsidR="00917BE5" w:rsidRPr="00BA0B14" w:rsidRDefault="006819F4" w:rsidP="00987783">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b/>
          <w:bCs/>
          <w:szCs w:val="24"/>
        </w:rPr>
      </w:pPr>
      <w:r w:rsidRPr="005B67C5">
        <w:rPr>
          <w:szCs w:val="24"/>
        </w:rPr>
        <w:t>The Strateg</w:t>
      </w:r>
      <w:r w:rsidR="00464570">
        <w:rPr>
          <w:szCs w:val="24"/>
        </w:rPr>
        <w:t>y</w:t>
      </w:r>
      <w:r w:rsidRPr="005B67C5">
        <w:rPr>
          <w:szCs w:val="24"/>
        </w:rPr>
        <w:t xml:space="preserve"> Directors </w:t>
      </w:r>
      <w:r w:rsidR="00917BE5">
        <w:rPr>
          <w:szCs w:val="24"/>
        </w:rPr>
        <w:t xml:space="preserve">provided an overview of the upcoming strategic guidance, which is issued to the Institute </w:t>
      </w:r>
      <w:r w:rsidR="00D5296B">
        <w:rPr>
          <w:szCs w:val="24"/>
        </w:rPr>
        <w:t>by</w:t>
      </w:r>
      <w:r w:rsidR="00917BE5">
        <w:rPr>
          <w:szCs w:val="24"/>
        </w:rPr>
        <w:t xml:space="preserve"> the Department for Education each year. They explained the guidance was broadly staying the same, with a renewed focus on our oversight function. </w:t>
      </w:r>
    </w:p>
    <w:p w14:paraId="01A619A0" w14:textId="77777777" w:rsidR="00BA0B14" w:rsidRPr="00917BE5" w:rsidRDefault="00BA0B14" w:rsidP="00BA0B14">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b/>
          <w:bCs/>
          <w:szCs w:val="24"/>
        </w:rPr>
      </w:pPr>
    </w:p>
    <w:p w14:paraId="3BF193A6" w14:textId="21627F3C" w:rsidR="003306C8" w:rsidRPr="005B67C5" w:rsidRDefault="00917BE5" w:rsidP="00EC2966">
      <w:pPr>
        <w:pStyle w:val="DeptBullets"/>
        <w:widowControl w:val="0"/>
        <w:numPr>
          <w:ilvl w:val="0"/>
          <w:numId w:val="9"/>
        </w:numPr>
        <w:overflowPunct w:val="0"/>
        <w:autoSpaceDE w:val="0"/>
        <w:autoSpaceDN w:val="0"/>
        <w:adjustRightInd w:val="0"/>
        <w:spacing w:before="0" w:after="0" w:line="360" w:lineRule="auto"/>
        <w:ind w:left="426" w:hanging="426"/>
        <w:jc w:val="both"/>
        <w:textAlignment w:val="baseline"/>
        <w:rPr>
          <w:b/>
          <w:bCs/>
          <w:szCs w:val="24"/>
        </w:rPr>
      </w:pPr>
      <w:r>
        <w:rPr>
          <w:szCs w:val="24"/>
        </w:rPr>
        <w:t xml:space="preserve">The Strategy Directors then </w:t>
      </w:r>
      <w:r w:rsidR="006819F4" w:rsidRPr="005B67C5">
        <w:rPr>
          <w:szCs w:val="24"/>
        </w:rPr>
        <w:t xml:space="preserve">presented the </w:t>
      </w:r>
      <w:r w:rsidR="0021154C" w:rsidRPr="005B67C5">
        <w:rPr>
          <w:szCs w:val="24"/>
        </w:rPr>
        <w:t>high-level</w:t>
      </w:r>
      <w:r w:rsidR="006819F4" w:rsidRPr="005B67C5">
        <w:rPr>
          <w:szCs w:val="24"/>
        </w:rPr>
        <w:t xml:space="preserve"> </w:t>
      </w:r>
      <w:r>
        <w:rPr>
          <w:szCs w:val="24"/>
        </w:rPr>
        <w:t>delivery roadmap</w:t>
      </w:r>
      <w:r w:rsidR="006819F4" w:rsidRPr="005B67C5">
        <w:rPr>
          <w:szCs w:val="24"/>
        </w:rPr>
        <w:t xml:space="preserve"> for the next three years. The Board</w:t>
      </w:r>
      <w:r w:rsidR="00464570">
        <w:rPr>
          <w:szCs w:val="24"/>
        </w:rPr>
        <w:t xml:space="preserve"> welcomed the clarity of the plan but</w:t>
      </w:r>
      <w:r w:rsidR="006819F4" w:rsidRPr="005B67C5">
        <w:rPr>
          <w:szCs w:val="24"/>
        </w:rPr>
        <w:t xml:space="preserve"> </w:t>
      </w:r>
      <w:r w:rsidR="00161122" w:rsidRPr="005B67C5">
        <w:rPr>
          <w:szCs w:val="24"/>
        </w:rPr>
        <w:t xml:space="preserve">expressed </w:t>
      </w:r>
      <w:r w:rsidR="006819F4" w:rsidRPr="005B67C5">
        <w:rPr>
          <w:szCs w:val="24"/>
        </w:rPr>
        <w:t xml:space="preserve">concern </w:t>
      </w:r>
      <w:r w:rsidR="00161122" w:rsidRPr="005B67C5">
        <w:rPr>
          <w:szCs w:val="24"/>
        </w:rPr>
        <w:t xml:space="preserve">around </w:t>
      </w:r>
      <w:r w:rsidR="00076DF8" w:rsidRPr="005B67C5">
        <w:rPr>
          <w:szCs w:val="24"/>
        </w:rPr>
        <w:t xml:space="preserve">the </w:t>
      </w:r>
      <w:r w:rsidR="00D5296B">
        <w:rPr>
          <w:szCs w:val="24"/>
        </w:rPr>
        <w:t xml:space="preserve">significant </w:t>
      </w:r>
      <w:r>
        <w:rPr>
          <w:szCs w:val="24"/>
        </w:rPr>
        <w:t>number</w:t>
      </w:r>
      <w:r w:rsidR="00076DF8" w:rsidRPr="005B67C5">
        <w:rPr>
          <w:szCs w:val="24"/>
        </w:rPr>
        <w:t xml:space="preserve"> of activities</w:t>
      </w:r>
      <w:r w:rsidR="00CB2FC3" w:rsidRPr="005B67C5">
        <w:rPr>
          <w:szCs w:val="24"/>
        </w:rPr>
        <w:t xml:space="preserve"> proposed</w:t>
      </w:r>
      <w:r w:rsidR="00D5296B">
        <w:rPr>
          <w:szCs w:val="24"/>
        </w:rPr>
        <w:t xml:space="preserve"> and the ability to achieve on all of this</w:t>
      </w:r>
      <w:r w:rsidR="00464570">
        <w:rPr>
          <w:szCs w:val="24"/>
        </w:rPr>
        <w:t>.</w:t>
      </w:r>
      <w:r w:rsidR="008E2E4A">
        <w:rPr>
          <w:szCs w:val="24"/>
        </w:rPr>
        <w:t xml:space="preserve"> The Executive explained that a similar volume of work had been delivered in the year elapsed.</w:t>
      </w:r>
      <w:r w:rsidR="00464570">
        <w:rPr>
          <w:szCs w:val="24"/>
        </w:rPr>
        <w:t xml:space="preserve"> </w:t>
      </w:r>
      <w:r w:rsidR="008E2E4A">
        <w:rPr>
          <w:szCs w:val="24"/>
        </w:rPr>
        <w:t>T</w:t>
      </w:r>
      <w:r w:rsidR="00464570">
        <w:rPr>
          <w:szCs w:val="24"/>
        </w:rPr>
        <w:t xml:space="preserve">here was </w:t>
      </w:r>
      <w:r w:rsidR="00D5296B">
        <w:rPr>
          <w:szCs w:val="24"/>
        </w:rPr>
        <w:t>a need</w:t>
      </w:r>
      <w:r w:rsidR="00464570">
        <w:rPr>
          <w:szCs w:val="24"/>
        </w:rPr>
        <w:t xml:space="preserve"> </w:t>
      </w:r>
      <w:r w:rsidR="008E2E4A">
        <w:rPr>
          <w:szCs w:val="24"/>
        </w:rPr>
        <w:t>to agree</w:t>
      </w:r>
      <w:r w:rsidR="00464570">
        <w:rPr>
          <w:szCs w:val="24"/>
        </w:rPr>
        <w:t xml:space="preserve"> realistic timing for the proposed</w:t>
      </w:r>
      <w:r w:rsidR="00CB2FC3" w:rsidRPr="005B67C5">
        <w:rPr>
          <w:szCs w:val="24"/>
        </w:rPr>
        <w:t xml:space="preserve"> digital </w:t>
      </w:r>
      <w:r w:rsidR="00464570">
        <w:rPr>
          <w:szCs w:val="24"/>
        </w:rPr>
        <w:t xml:space="preserve">strategy </w:t>
      </w:r>
      <w:r w:rsidR="008E2E4A">
        <w:rPr>
          <w:szCs w:val="24"/>
        </w:rPr>
        <w:t>including</w:t>
      </w:r>
      <w:r w:rsidR="00464570">
        <w:rPr>
          <w:szCs w:val="24"/>
        </w:rPr>
        <w:t xml:space="preserve"> implementation considerations</w:t>
      </w:r>
      <w:r w:rsidR="00076DF8" w:rsidRPr="005B67C5">
        <w:rPr>
          <w:szCs w:val="24"/>
        </w:rPr>
        <w:t xml:space="preserve">. </w:t>
      </w:r>
      <w:r w:rsidR="00464570">
        <w:rPr>
          <w:szCs w:val="24"/>
        </w:rPr>
        <w:t xml:space="preserve">At the March meeting, the team agreed to return with the next iteration of the </w:t>
      </w:r>
      <w:r w:rsidR="00D5296B">
        <w:rPr>
          <w:szCs w:val="24"/>
        </w:rPr>
        <w:t>roadmap</w:t>
      </w:r>
      <w:r w:rsidR="008E2E4A">
        <w:rPr>
          <w:szCs w:val="24"/>
        </w:rPr>
        <w:t xml:space="preserve"> at the next level of detail, including</w:t>
      </w:r>
      <w:r w:rsidR="00076DF8" w:rsidRPr="005B67C5">
        <w:rPr>
          <w:szCs w:val="24"/>
        </w:rPr>
        <w:t>:</w:t>
      </w:r>
    </w:p>
    <w:p w14:paraId="0FFACC57" w14:textId="35AF174B" w:rsidR="00076DF8" w:rsidRPr="00F14D35" w:rsidRDefault="000172CE" w:rsidP="00EC2966">
      <w:pPr>
        <w:pStyle w:val="DeptBullets"/>
        <w:widowControl w:val="0"/>
        <w:numPr>
          <w:ilvl w:val="0"/>
          <w:numId w:val="11"/>
        </w:numPr>
        <w:overflowPunct w:val="0"/>
        <w:autoSpaceDE w:val="0"/>
        <w:autoSpaceDN w:val="0"/>
        <w:adjustRightInd w:val="0"/>
        <w:spacing w:before="0" w:after="0" w:line="360" w:lineRule="auto"/>
        <w:jc w:val="both"/>
        <w:textAlignment w:val="baseline"/>
        <w:rPr>
          <w:b/>
          <w:bCs/>
          <w:szCs w:val="24"/>
        </w:rPr>
      </w:pPr>
      <w:r w:rsidRPr="005B67C5">
        <w:rPr>
          <w:szCs w:val="24"/>
        </w:rPr>
        <w:t xml:space="preserve">A clear goal for each </w:t>
      </w:r>
      <w:proofErr w:type="gramStart"/>
      <w:r w:rsidRPr="005B67C5">
        <w:rPr>
          <w:szCs w:val="24"/>
        </w:rPr>
        <w:t>project</w:t>
      </w:r>
      <w:r w:rsidR="00D5296B">
        <w:rPr>
          <w:szCs w:val="24"/>
        </w:rPr>
        <w:t>;</w:t>
      </w:r>
      <w:proofErr w:type="gramEnd"/>
    </w:p>
    <w:p w14:paraId="17CD54FA" w14:textId="23853D70" w:rsidR="008E2E4A" w:rsidRPr="005B67C5" w:rsidRDefault="008E2E4A" w:rsidP="00EC2966">
      <w:pPr>
        <w:pStyle w:val="DeptBullets"/>
        <w:widowControl w:val="0"/>
        <w:numPr>
          <w:ilvl w:val="0"/>
          <w:numId w:val="11"/>
        </w:numPr>
        <w:overflowPunct w:val="0"/>
        <w:autoSpaceDE w:val="0"/>
        <w:autoSpaceDN w:val="0"/>
        <w:adjustRightInd w:val="0"/>
        <w:spacing w:before="0" w:after="0" w:line="360" w:lineRule="auto"/>
        <w:jc w:val="both"/>
        <w:textAlignment w:val="baseline"/>
        <w:rPr>
          <w:b/>
          <w:bCs/>
          <w:szCs w:val="24"/>
        </w:rPr>
      </w:pPr>
      <w:r>
        <w:rPr>
          <w:szCs w:val="24"/>
        </w:rPr>
        <w:t>Clear responsible owners</w:t>
      </w:r>
      <w:r w:rsidRPr="005B67C5">
        <w:rPr>
          <w:szCs w:val="24"/>
        </w:rPr>
        <w:t xml:space="preserve"> for the delivery of the projects</w:t>
      </w:r>
      <w:r w:rsidR="00D5296B">
        <w:rPr>
          <w:szCs w:val="24"/>
        </w:rPr>
        <w:t>; and</w:t>
      </w:r>
    </w:p>
    <w:p w14:paraId="1D666F17" w14:textId="3F6070F2" w:rsidR="00B621A3" w:rsidRPr="000A6EB5" w:rsidRDefault="00B621A3" w:rsidP="00EC2966">
      <w:pPr>
        <w:pStyle w:val="DeptBullets"/>
        <w:widowControl w:val="0"/>
        <w:numPr>
          <w:ilvl w:val="0"/>
          <w:numId w:val="11"/>
        </w:numPr>
        <w:overflowPunct w:val="0"/>
        <w:autoSpaceDE w:val="0"/>
        <w:autoSpaceDN w:val="0"/>
        <w:adjustRightInd w:val="0"/>
        <w:spacing w:before="0" w:after="0" w:line="360" w:lineRule="auto"/>
        <w:jc w:val="both"/>
        <w:textAlignment w:val="baseline"/>
        <w:rPr>
          <w:b/>
          <w:bCs/>
          <w:szCs w:val="24"/>
        </w:rPr>
      </w:pPr>
      <w:r w:rsidRPr="005B67C5">
        <w:rPr>
          <w:szCs w:val="24"/>
        </w:rPr>
        <w:t xml:space="preserve">The </w:t>
      </w:r>
      <w:r w:rsidR="008E2E4A">
        <w:rPr>
          <w:szCs w:val="24"/>
        </w:rPr>
        <w:t>resourcing</w:t>
      </w:r>
      <w:r w:rsidRPr="005B67C5">
        <w:rPr>
          <w:szCs w:val="24"/>
        </w:rPr>
        <w:t xml:space="preserve"> and scope for each project</w:t>
      </w:r>
      <w:r w:rsidR="008E2E4A">
        <w:rPr>
          <w:szCs w:val="24"/>
        </w:rPr>
        <w:t xml:space="preserve"> including</w:t>
      </w:r>
      <w:r w:rsidR="000A6EB5">
        <w:rPr>
          <w:szCs w:val="24"/>
        </w:rPr>
        <w:t xml:space="preserve"> whether there was in-house resource, whether any outsourcing was required, or whether any further appointments were needed to fill any skills gaps.</w:t>
      </w:r>
    </w:p>
    <w:p w14:paraId="71D9BC5E" w14:textId="77777777" w:rsidR="000A6EB5" w:rsidRPr="000A6EB5" w:rsidRDefault="000A6EB5" w:rsidP="002E5D78">
      <w:pPr>
        <w:pStyle w:val="DeptBullets"/>
        <w:widowControl w:val="0"/>
        <w:numPr>
          <w:ilvl w:val="0"/>
          <w:numId w:val="0"/>
        </w:numPr>
        <w:overflowPunct w:val="0"/>
        <w:autoSpaceDE w:val="0"/>
        <w:autoSpaceDN w:val="0"/>
        <w:adjustRightInd w:val="0"/>
        <w:spacing w:before="0" w:after="0" w:line="360" w:lineRule="auto"/>
        <w:ind w:left="426"/>
        <w:jc w:val="both"/>
        <w:textAlignment w:val="baseline"/>
        <w:rPr>
          <w:b/>
          <w:bCs/>
          <w:szCs w:val="24"/>
        </w:rPr>
      </w:pPr>
    </w:p>
    <w:p w14:paraId="3A82AE56" w14:textId="6A703AD1" w:rsidR="003306C8" w:rsidRDefault="003306C8" w:rsidP="00EC2966">
      <w:pPr>
        <w:pStyle w:val="DeptBullets"/>
        <w:numPr>
          <w:ilvl w:val="0"/>
          <w:numId w:val="0"/>
        </w:numPr>
        <w:spacing w:after="0" w:line="360" w:lineRule="auto"/>
        <w:ind w:left="360"/>
        <w:jc w:val="both"/>
        <w:rPr>
          <w:b/>
          <w:bCs/>
          <w:szCs w:val="24"/>
        </w:rPr>
      </w:pPr>
    </w:p>
    <w:p w14:paraId="6E8D4614" w14:textId="700CFB49" w:rsidR="00BA0B14" w:rsidRDefault="00BA0B14" w:rsidP="00EC2966">
      <w:pPr>
        <w:pStyle w:val="DeptBullets"/>
        <w:numPr>
          <w:ilvl w:val="0"/>
          <w:numId w:val="0"/>
        </w:numPr>
        <w:spacing w:after="0" w:line="360" w:lineRule="auto"/>
        <w:ind w:left="360"/>
        <w:jc w:val="both"/>
        <w:rPr>
          <w:b/>
          <w:bCs/>
          <w:szCs w:val="24"/>
        </w:rPr>
      </w:pPr>
    </w:p>
    <w:p w14:paraId="3D111CE0" w14:textId="77777777" w:rsidR="002C4497" w:rsidRDefault="002C4497" w:rsidP="00EC2966">
      <w:pPr>
        <w:pStyle w:val="DeptBullets"/>
        <w:numPr>
          <w:ilvl w:val="0"/>
          <w:numId w:val="0"/>
        </w:numPr>
        <w:spacing w:after="0" w:line="360" w:lineRule="auto"/>
        <w:ind w:left="360"/>
        <w:jc w:val="both"/>
        <w:rPr>
          <w:b/>
          <w:bCs/>
          <w:szCs w:val="24"/>
        </w:rPr>
      </w:pPr>
    </w:p>
    <w:p w14:paraId="2317A9B5" w14:textId="77777777" w:rsidR="00BA0B14" w:rsidRPr="00AF2C50" w:rsidRDefault="00BA0B14" w:rsidP="00EC2966">
      <w:pPr>
        <w:pStyle w:val="DeptBullets"/>
        <w:numPr>
          <w:ilvl w:val="0"/>
          <w:numId w:val="0"/>
        </w:numPr>
        <w:spacing w:after="0" w:line="360" w:lineRule="auto"/>
        <w:ind w:left="360"/>
        <w:jc w:val="both"/>
        <w:rPr>
          <w:b/>
          <w:bCs/>
          <w:szCs w:val="24"/>
        </w:rPr>
      </w:pPr>
    </w:p>
    <w:p w14:paraId="4266FEFF" w14:textId="33CA418B" w:rsidR="003306C8" w:rsidRPr="00D95D8B" w:rsidRDefault="0038021D" w:rsidP="00EC2966">
      <w:pPr>
        <w:pStyle w:val="DeptBullets"/>
        <w:numPr>
          <w:ilvl w:val="0"/>
          <w:numId w:val="0"/>
        </w:numPr>
        <w:spacing w:after="120" w:line="360" w:lineRule="auto"/>
        <w:jc w:val="both"/>
        <w:rPr>
          <w:b/>
          <w:bCs/>
          <w:szCs w:val="24"/>
        </w:rPr>
      </w:pPr>
      <w:r>
        <w:rPr>
          <w:b/>
          <w:bCs/>
          <w:szCs w:val="24"/>
        </w:rPr>
        <w:t>Matters arising from the papers for information</w:t>
      </w:r>
    </w:p>
    <w:p w14:paraId="6BF251A3" w14:textId="35A0937F" w:rsidR="008E2A3E" w:rsidRPr="002E5D78" w:rsidRDefault="00461C7D" w:rsidP="002E5D78">
      <w:pPr>
        <w:pStyle w:val="DeptBullets"/>
        <w:numPr>
          <w:ilvl w:val="0"/>
          <w:numId w:val="9"/>
        </w:numPr>
        <w:spacing w:line="360" w:lineRule="auto"/>
        <w:jc w:val="both"/>
      </w:pPr>
      <w:r w:rsidRPr="002E5D78">
        <w:t>The</w:t>
      </w:r>
      <w:r w:rsidR="008E2A3E" w:rsidRPr="002E5D78">
        <w:t xml:space="preserve"> Board </w:t>
      </w:r>
      <w:r w:rsidR="008F7C5A" w:rsidRPr="002E5D78">
        <w:t xml:space="preserve">requested for a </w:t>
      </w:r>
      <w:r w:rsidR="008E2A3E" w:rsidRPr="002E5D78">
        <w:t xml:space="preserve">training provider to </w:t>
      </w:r>
      <w:r w:rsidR="008F7C5A" w:rsidRPr="002E5D78">
        <w:t xml:space="preserve">be invited to </w:t>
      </w:r>
      <w:r w:rsidR="008E2A3E" w:rsidRPr="002E5D78">
        <w:t xml:space="preserve">a future </w:t>
      </w:r>
      <w:r w:rsidR="00295635">
        <w:t>B</w:t>
      </w:r>
      <w:r w:rsidR="008F7C5A" w:rsidRPr="002E5D78">
        <w:t xml:space="preserve">oard </w:t>
      </w:r>
      <w:r w:rsidR="008E2A3E" w:rsidRPr="002E5D78">
        <w:t xml:space="preserve">meeting. </w:t>
      </w:r>
      <w:r w:rsidR="001769D5" w:rsidRPr="002E5D78">
        <w:t xml:space="preserve">The </w:t>
      </w:r>
      <w:r w:rsidR="00D5296B">
        <w:t>Delivery Director</w:t>
      </w:r>
      <w:r w:rsidR="001769D5" w:rsidRPr="002E5D78">
        <w:t xml:space="preserve"> would liaise with </w:t>
      </w:r>
      <w:r w:rsidR="00D5296B">
        <w:t>potential</w:t>
      </w:r>
      <w:r w:rsidR="00D5296B" w:rsidRPr="002E5D78">
        <w:t xml:space="preserve"> </w:t>
      </w:r>
      <w:r w:rsidR="001769D5" w:rsidRPr="002E5D78">
        <w:t>training providers</w:t>
      </w:r>
      <w:r w:rsidR="00E650F6" w:rsidRPr="002E5D78">
        <w:t xml:space="preserve">. </w:t>
      </w:r>
    </w:p>
    <w:p w14:paraId="4C791D3B" w14:textId="77777777" w:rsidR="002E5D78" w:rsidRPr="002E5D78" w:rsidRDefault="009C35E7" w:rsidP="002E5D78">
      <w:pPr>
        <w:pStyle w:val="DeptBullets"/>
        <w:numPr>
          <w:ilvl w:val="0"/>
          <w:numId w:val="9"/>
        </w:numPr>
        <w:spacing w:line="360" w:lineRule="auto"/>
        <w:jc w:val="both"/>
      </w:pPr>
      <w:r>
        <w:t xml:space="preserve">The Board </w:t>
      </w:r>
      <w:r w:rsidR="0046127D">
        <w:t>w</w:t>
      </w:r>
      <w:r w:rsidR="00152AE6">
        <w:t xml:space="preserve">as </w:t>
      </w:r>
      <w:r w:rsidR="00C56841">
        <w:t>c</w:t>
      </w:r>
      <w:r>
        <w:t xml:space="preserve">oncerned about the </w:t>
      </w:r>
      <w:r w:rsidR="00BE3C71">
        <w:t>staff a</w:t>
      </w:r>
      <w:r>
        <w:t xml:space="preserve">nnual leave accrual challenge that happened in 2021 and wanted to make sure that provisions were in place to prevent a recurrence. PS assured the Board that the accrual exercise would be improved to help with this. The </w:t>
      </w:r>
      <w:r w:rsidRPr="002E5D78">
        <w:t xml:space="preserve">Chair requested that any </w:t>
      </w:r>
      <w:r w:rsidR="000330F8" w:rsidRPr="002E5D78">
        <w:t>issues arising from the accrual exercise s</w:t>
      </w:r>
      <w:r w:rsidRPr="002E5D78">
        <w:t>hould be brought to the Board.</w:t>
      </w:r>
    </w:p>
    <w:p w14:paraId="2CBD103D" w14:textId="21A18507" w:rsidR="008C1A23" w:rsidRPr="002E5D78" w:rsidRDefault="008C1A23" w:rsidP="002E5D78">
      <w:pPr>
        <w:pStyle w:val="DeptBullets"/>
        <w:numPr>
          <w:ilvl w:val="0"/>
          <w:numId w:val="9"/>
        </w:numPr>
        <w:spacing w:line="360" w:lineRule="auto"/>
        <w:jc w:val="both"/>
      </w:pPr>
      <w:r w:rsidRPr="002E5D78">
        <w:t xml:space="preserve">There was an increase in </w:t>
      </w:r>
      <w:r w:rsidR="003A75F7" w:rsidRPr="002E5D78">
        <w:t xml:space="preserve">staff </w:t>
      </w:r>
      <w:r w:rsidRPr="002E5D78">
        <w:t xml:space="preserve">sickness absence, which was </w:t>
      </w:r>
      <w:r w:rsidR="008E2E4A" w:rsidRPr="002E5D78">
        <w:t xml:space="preserve">largely </w:t>
      </w:r>
      <w:r w:rsidRPr="002E5D78">
        <w:t xml:space="preserve">due to the Covid omicron variant. The Chair recommended that the SLT explored ways in which support could be provided to staff returning to the office. JC had started work on this and would provide an update to the Board. </w:t>
      </w:r>
    </w:p>
    <w:p w14:paraId="6683434C" w14:textId="0B158CDB" w:rsidR="008E520A" w:rsidRDefault="008E520A" w:rsidP="00EC2966">
      <w:pPr>
        <w:pStyle w:val="DeptBullets"/>
        <w:numPr>
          <w:ilvl w:val="0"/>
          <w:numId w:val="9"/>
        </w:numPr>
        <w:spacing w:line="360" w:lineRule="auto"/>
        <w:jc w:val="both"/>
      </w:pPr>
      <w:r>
        <w:t xml:space="preserve">JC </w:t>
      </w:r>
      <w:r w:rsidR="00E83563">
        <w:t xml:space="preserve">confirmed </w:t>
      </w:r>
      <w:r>
        <w:t xml:space="preserve">that the SLT would work with their teams to find ways to develop emotional and mental resilience </w:t>
      </w:r>
      <w:r w:rsidR="002C155E">
        <w:t>for staff</w:t>
      </w:r>
      <w:r w:rsidR="00D16991">
        <w:t xml:space="preserve">, </w:t>
      </w:r>
      <w:r w:rsidR="002C155E">
        <w:t xml:space="preserve">to help with </w:t>
      </w:r>
      <w:r>
        <w:t xml:space="preserve">returning to working in the office. Carefully positioned communications </w:t>
      </w:r>
      <w:r w:rsidR="002C155E">
        <w:t>would be</w:t>
      </w:r>
      <w:r>
        <w:t xml:space="preserve"> sent out to encourage people to return to working in the office. </w:t>
      </w:r>
    </w:p>
    <w:p w14:paraId="0B23C91C" w14:textId="0E1EE303" w:rsidR="00FF53CE" w:rsidRDefault="00FF53CE" w:rsidP="00EC2966">
      <w:pPr>
        <w:pStyle w:val="DeptBullets"/>
        <w:numPr>
          <w:ilvl w:val="0"/>
          <w:numId w:val="9"/>
        </w:numPr>
        <w:spacing w:line="360" w:lineRule="auto"/>
        <w:jc w:val="both"/>
      </w:pPr>
      <w:r>
        <w:t>Staff retention was discussed. Research showed that organisations had higher turnover</w:t>
      </w:r>
      <w:r w:rsidR="006D27BA">
        <w:t xml:space="preserve"> of</w:t>
      </w:r>
      <w:r>
        <w:t xml:space="preserve"> staff during the pandemic</w:t>
      </w:r>
      <w:r w:rsidR="00BE3C71">
        <w:t>. One of the potential causes was</w:t>
      </w:r>
      <w:r>
        <w:t xml:space="preserve"> limited contact with colleagues. </w:t>
      </w:r>
      <w:r w:rsidR="00D5296B">
        <w:t>The Board encouraged the Executive to consider its approach to staff retention</w:t>
      </w:r>
      <w:r w:rsidR="005442F8">
        <w:t>, including retaining those employees with specialist skills.</w:t>
      </w:r>
    </w:p>
    <w:p w14:paraId="3D86ADFA" w14:textId="25C5F519" w:rsidR="003306C8" w:rsidRDefault="00CA0019" w:rsidP="00EC2966">
      <w:pPr>
        <w:pStyle w:val="DeptBullets"/>
        <w:numPr>
          <w:ilvl w:val="0"/>
          <w:numId w:val="9"/>
        </w:numPr>
        <w:spacing w:line="360" w:lineRule="auto"/>
        <w:jc w:val="both"/>
      </w:pPr>
      <w:r>
        <w:t xml:space="preserve">JC was pleased to confirm that the engagement </w:t>
      </w:r>
      <w:r w:rsidR="006D27BA">
        <w:t xml:space="preserve">results </w:t>
      </w:r>
      <w:r>
        <w:t>for the recent staff survey had increased. The results had not yet been published. A recruitment campaign for a Director of HR was also launched</w:t>
      </w:r>
      <w:r w:rsidR="00274669">
        <w:t>. One of their objectives would be</w:t>
      </w:r>
      <w:r>
        <w:t xml:space="preserve"> to focus on staff welfare.</w:t>
      </w:r>
    </w:p>
    <w:p w14:paraId="72CD333F" w14:textId="6BBDD283" w:rsidR="003306C8" w:rsidRPr="00503A63" w:rsidRDefault="0038021D" w:rsidP="00EC2966">
      <w:pPr>
        <w:pStyle w:val="DeptBullets"/>
        <w:numPr>
          <w:ilvl w:val="0"/>
          <w:numId w:val="0"/>
        </w:numPr>
        <w:spacing w:after="120" w:line="360" w:lineRule="auto"/>
        <w:jc w:val="both"/>
        <w:rPr>
          <w:b/>
          <w:bCs/>
          <w:szCs w:val="24"/>
        </w:rPr>
      </w:pPr>
      <w:r>
        <w:rPr>
          <w:b/>
          <w:bCs/>
          <w:szCs w:val="24"/>
        </w:rPr>
        <w:t>Any other business</w:t>
      </w:r>
    </w:p>
    <w:p w14:paraId="37E7EAEF" w14:textId="1096F082" w:rsidR="00CF68FF" w:rsidRDefault="00CF68FF" w:rsidP="00EC2966">
      <w:pPr>
        <w:pStyle w:val="DeptBullets"/>
        <w:numPr>
          <w:ilvl w:val="0"/>
          <w:numId w:val="9"/>
        </w:numPr>
        <w:spacing w:line="360" w:lineRule="auto"/>
        <w:jc w:val="both"/>
      </w:pPr>
      <w:r>
        <w:t xml:space="preserve">Board </w:t>
      </w:r>
      <w:r w:rsidR="00BA0B14">
        <w:t>m</w:t>
      </w:r>
      <w:r>
        <w:t>embers were asked to reflect on the activities from their away</w:t>
      </w:r>
      <w:r w:rsidR="004E21B5">
        <w:t xml:space="preserve"> day</w:t>
      </w:r>
      <w:r>
        <w:t xml:space="preserve"> and provide feedback on the following:</w:t>
      </w:r>
    </w:p>
    <w:p w14:paraId="739F7765" w14:textId="1C57DE8A" w:rsidR="00FF7D0D" w:rsidRDefault="00FF7D0D" w:rsidP="00EC2966">
      <w:pPr>
        <w:pStyle w:val="DeptBullets"/>
        <w:numPr>
          <w:ilvl w:val="0"/>
          <w:numId w:val="10"/>
        </w:numPr>
        <w:spacing w:before="0"/>
        <w:ind w:left="1077" w:hanging="357"/>
        <w:jc w:val="both"/>
      </w:pPr>
      <w:r>
        <w:t>Priorities for the Institute</w:t>
      </w:r>
    </w:p>
    <w:p w14:paraId="72011875" w14:textId="4529A7A6" w:rsidR="00FF7D0D" w:rsidRDefault="007B2A77" w:rsidP="00EC2966">
      <w:pPr>
        <w:pStyle w:val="DeptBullets"/>
        <w:numPr>
          <w:ilvl w:val="0"/>
          <w:numId w:val="10"/>
        </w:numPr>
        <w:spacing w:before="0"/>
        <w:ind w:left="1077" w:hanging="357"/>
        <w:jc w:val="both"/>
      </w:pPr>
      <w:r>
        <w:t>Actions required to help with development</w:t>
      </w:r>
    </w:p>
    <w:p w14:paraId="6A1155DB" w14:textId="1F8B0B3A" w:rsidR="007B2A77" w:rsidRDefault="007B2A77" w:rsidP="00EC2966">
      <w:pPr>
        <w:pStyle w:val="DeptBullets"/>
        <w:numPr>
          <w:ilvl w:val="0"/>
          <w:numId w:val="10"/>
        </w:numPr>
        <w:spacing w:before="0"/>
        <w:ind w:left="1077" w:hanging="357"/>
        <w:jc w:val="both"/>
      </w:pPr>
      <w:r>
        <w:t>What could be done to improve Board meetings</w:t>
      </w:r>
    </w:p>
    <w:p w14:paraId="51D7F625" w14:textId="43AF41EE" w:rsidR="002E5D78" w:rsidRPr="002E5D78" w:rsidRDefault="0003004C" w:rsidP="008425F7">
      <w:pPr>
        <w:pStyle w:val="DeptBullets"/>
        <w:numPr>
          <w:ilvl w:val="0"/>
          <w:numId w:val="9"/>
        </w:numPr>
        <w:spacing w:line="360" w:lineRule="auto"/>
        <w:jc w:val="both"/>
        <w:rPr>
          <w:b/>
          <w:bCs/>
          <w:szCs w:val="24"/>
        </w:rPr>
      </w:pPr>
      <w:r>
        <w:lastRenderedPageBreak/>
        <w:t xml:space="preserve">The Board confirmed the establishment of the Equity, </w:t>
      </w:r>
      <w:proofErr w:type="gramStart"/>
      <w:r>
        <w:t>Diversity</w:t>
      </w:r>
      <w:proofErr w:type="gramEnd"/>
      <w:r>
        <w:t xml:space="preserve"> and Inclusion Committee, with R</w:t>
      </w:r>
      <w:r w:rsidR="00BA0B14">
        <w:t>B</w:t>
      </w:r>
      <w:r>
        <w:t xml:space="preserve"> as the Chair. The Board would meet on 15 February to discuss </w:t>
      </w:r>
      <w:r w:rsidR="004E21B5">
        <w:t xml:space="preserve">and agree </w:t>
      </w:r>
      <w:r>
        <w:t xml:space="preserve">the </w:t>
      </w:r>
      <w:r w:rsidR="00C544E0">
        <w:t xml:space="preserve">terms of reference </w:t>
      </w:r>
      <w:r w:rsidR="00DC416F">
        <w:t xml:space="preserve">for </w:t>
      </w:r>
      <w:r w:rsidR="004E21B5">
        <w:t>the</w:t>
      </w:r>
      <w:r w:rsidR="00255D55">
        <w:t xml:space="preserve"> </w:t>
      </w:r>
      <w:r w:rsidR="004E21B5">
        <w:t xml:space="preserve">new (and existing) </w:t>
      </w:r>
      <w:r>
        <w:t>Committee</w:t>
      </w:r>
      <w:r w:rsidR="004E21B5">
        <w:t>s</w:t>
      </w:r>
      <w:r>
        <w:t>.</w:t>
      </w:r>
    </w:p>
    <w:p w14:paraId="75F7F9B8" w14:textId="55EF553A" w:rsidR="003306C8" w:rsidRPr="00402938" w:rsidRDefault="0038021D" w:rsidP="00EC2966">
      <w:pPr>
        <w:pStyle w:val="DeptBullets"/>
        <w:numPr>
          <w:ilvl w:val="0"/>
          <w:numId w:val="0"/>
        </w:numPr>
        <w:spacing w:after="120" w:line="360" w:lineRule="auto"/>
        <w:jc w:val="both"/>
        <w:rPr>
          <w:szCs w:val="24"/>
        </w:rPr>
      </w:pPr>
      <w:r>
        <w:rPr>
          <w:b/>
          <w:bCs/>
          <w:szCs w:val="24"/>
        </w:rPr>
        <w:t>Next Board meeting</w:t>
      </w:r>
    </w:p>
    <w:p w14:paraId="298CF500" w14:textId="282457C9" w:rsidR="003306C8" w:rsidRDefault="003306C8" w:rsidP="00EC2966">
      <w:pPr>
        <w:pStyle w:val="DeptBullets"/>
        <w:widowControl w:val="0"/>
        <w:numPr>
          <w:ilvl w:val="0"/>
          <w:numId w:val="9"/>
        </w:numPr>
        <w:overflowPunct w:val="0"/>
        <w:autoSpaceDE w:val="0"/>
        <w:autoSpaceDN w:val="0"/>
        <w:adjustRightInd w:val="0"/>
        <w:spacing w:before="0" w:line="360" w:lineRule="auto"/>
        <w:ind w:left="426" w:hanging="426"/>
        <w:jc w:val="both"/>
        <w:textAlignment w:val="baseline"/>
      </w:pPr>
      <w:r>
        <w:t xml:space="preserve">The </w:t>
      </w:r>
      <w:r w:rsidR="0038021D">
        <w:t xml:space="preserve">next Board meeting would be on Tuesday 15 February 2022. </w:t>
      </w:r>
    </w:p>
    <w:p w14:paraId="154881BB" w14:textId="4D404092" w:rsidR="0096789C" w:rsidRDefault="0096789C" w:rsidP="00EC2966">
      <w:pPr>
        <w:pStyle w:val="DeptBullets"/>
        <w:widowControl w:val="0"/>
        <w:numPr>
          <w:ilvl w:val="0"/>
          <w:numId w:val="9"/>
        </w:numPr>
        <w:overflowPunct w:val="0"/>
        <w:autoSpaceDE w:val="0"/>
        <w:autoSpaceDN w:val="0"/>
        <w:adjustRightInd w:val="0"/>
        <w:spacing w:before="0" w:line="360" w:lineRule="auto"/>
        <w:ind w:left="426" w:hanging="426"/>
        <w:jc w:val="both"/>
        <w:textAlignment w:val="baseline"/>
      </w:pPr>
      <w:r>
        <w:t>The meeting after th</w:t>
      </w:r>
      <w:r w:rsidR="00325731">
        <w:t xml:space="preserve">is would be </w:t>
      </w:r>
      <w:r w:rsidR="001A4EBB">
        <w:t>on 23 March 2022 and held in London.</w:t>
      </w:r>
    </w:p>
    <w:p w14:paraId="404AC29C" w14:textId="77777777" w:rsidR="003306C8" w:rsidRDefault="003306C8" w:rsidP="00EC2966">
      <w:pPr>
        <w:pStyle w:val="DeptBullets"/>
        <w:numPr>
          <w:ilvl w:val="0"/>
          <w:numId w:val="0"/>
        </w:numPr>
        <w:spacing w:after="0" w:line="360" w:lineRule="auto"/>
        <w:ind w:left="426"/>
        <w:jc w:val="both"/>
      </w:pPr>
    </w:p>
    <w:p w14:paraId="144CEB46" w14:textId="77777777" w:rsidR="003306C8" w:rsidRPr="00D37D4C" w:rsidRDefault="003306C8" w:rsidP="00EC2966">
      <w:pPr>
        <w:jc w:val="both"/>
        <w:rPr>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6"/>
      </w:tblGrid>
      <w:tr w:rsidR="003306C8" w:rsidRPr="00D37D4C" w14:paraId="0E84C2DE" w14:textId="77777777" w:rsidTr="00C824A8">
        <w:tc>
          <w:tcPr>
            <w:tcW w:w="1843" w:type="dxa"/>
            <w:shd w:val="clear" w:color="auto" w:fill="auto"/>
          </w:tcPr>
          <w:p w14:paraId="65EA9BAB" w14:textId="77777777" w:rsidR="003306C8" w:rsidRPr="00D37D4C" w:rsidRDefault="003306C8" w:rsidP="00EC2966">
            <w:pPr>
              <w:jc w:val="both"/>
              <w:rPr>
                <w:color w:val="4F81BD" w:themeColor="accent1"/>
                <w:szCs w:val="24"/>
              </w:rPr>
            </w:pPr>
            <w:r w:rsidRPr="00D37D4C">
              <w:rPr>
                <w:color w:val="4F81BD" w:themeColor="accent1"/>
                <w:szCs w:val="24"/>
              </w:rPr>
              <w:t>Author</w:t>
            </w:r>
          </w:p>
        </w:tc>
        <w:tc>
          <w:tcPr>
            <w:tcW w:w="7796" w:type="dxa"/>
            <w:shd w:val="clear" w:color="auto" w:fill="auto"/>
          </w:tcPr>
          <w:p w14:paraId="7462D4A5" w14:textId="77777777" w:rsidR="003306C8" w:rsidRPr="00D37D4C" w:rsidRDefault="003306C8" w:rsidP="00EC2966">
            <w:pPr>
              <w:jc w:val="both"/>
              <w:rPr>
                <w:szCs w:val="24"/>
              </w:rPr>
            </w:pPr>
            <w:r w:rsidRPr="00D37D4C">
              <w:rPr>
                <w:szCs w:val="24"/>
              </w:rPr>
              <w:t>Secretariat, Institute for Apprenticeships &amp; Technical Education</w:t>
            </w:r>
          </w:p>
        </w:tc>
      </w:tr>
      <w:tr w:rsidR="003306C8" w:rsidRPr="00D37D4C" w14:paraId="74256AE0" w14:textId="77777777" w:rsidTr="00C824A8">
        <w:tc>
          <w:tcPr>
            <w:tcW w:w="1843" w:type="dxa"/>
            <w:shd w:val="clear" w:color="auto" w:fill="auto"/>
          </w:tcPr>
          <w:p w14:paraId="16347B1E" w14:textId="77777777" w:rsidR="003306C8" w:rsidRPr="00D37D4C" w:rsidRDefault="003306C8" w:rsidP="00EC2966">
            <w:pPr>
              <w:jc w:val="both"/>
              <w:rPr>
                <w:color w:val="4F81BD" w:themeColor="accent1"/>
                <w:szCs w:val="24"/>
              </w:rPr>
            </w:pPr>
            <w:r w:rsidRPr="00D37D4C">
              <w:rPr>
                <w:color w:val="4F81BD" w:themeColor="accent1"/>
                <w:szCs w:val="24"/>
              </w:rPr>
              <w:t>Date created</w:t>
            </w:r>
          </w:p>
        </w:tc>
        <w:tc>
          <w:tcPr>
            <w:tcW w:w="7796" w:type="dxa"/>
            <w:shd w:val="clear" w:color="auto" w:fill="auto"/>
          </w:tcPr>
          <w:p w14:paraId="7663F7C6" w14:textId="722771DF" w:rsidR="003306C8" w:rsidRPr="00D37D4C" w:rsidRDefault="00E707ED" w:rsidP="00EC2966">
            <w:pPr>
              <w:jc w:val="both"/>
              <w:rPr>
                <w:szCs w:val="24"/>
              </w:rPr>
            </w:pPr>
            <w:r>
              <w:rPr>
                <w:szCs w:val="24"/>
              </w:rPr>
              <w:t>31</w:t>
            </w:r>
            <w:r w:rsidR="0038021D">
              <w:rPr>
                <w:szCs w:val="24"/>
              </w:rPr>
              <w:t xml:space="preserve"> January 2022</w:t>
            </w:r>
          </w:p>
        </w:tc>
      </w:tr>
      <w:tr w:rsidR="003306C8" w:rsidRPr="00D37D4C" w14:paraId="7FB1C329" w14:textId="77777777" w:rsidTr="00C824A8">
        <w:tc>
          <w:tcPr>
            <w:tcW w:w="1843" w:type="dxa"/>
            <w:shd w:val="clear" w:color="auto" w:fill="auto"/>
          </w:tcPr>
          <w:p w14:paraId="5A820EA1" w14:textId="77777777" w:rsidR="003306C8" w:rsidRPr="00D37D4C" w:rsidRDefault="003306C8" w:rsidP="00EC2966">
            <w:pPr>
              <w:jc w:val="both"/>
              <w:rPr>
                <w:b/>
                <w:color w:val="4F81BD" w:themeColor="accent1"/>
                <w:szCs w:val="24"/>
              </w:rPr>
            </w:pPr>
            <w:r w:rsidRPr="00D37D4C">
              <w:rPr>
                <w:color w:val="4F81BD" w:themeColor="accent1"/>
                <w:szCs w:val="24"/>
              </w:rPr>
              <w:t>Version</w:t>
            </w:r>
          </w:p>
        </w:tc>
        <w:tc>
          <w:tcPr>
            <w:tcW w:w="7796" w:type="dxa"/>
            <w:shd w:val="clear" w:color="auto" w:fill="auto"/>
          </w:tcPr>
          <w:p w14:paraId="4A782F0C" w14:textId="1C78E631" w:rsidR="003306C8" w:rsidRPr="00D37D4C" w:rsidRDefault="00BA0B14" w:rsidP="00EC2966">
            <w:pPr>
              <w:jc w:val="both"/>
              <w:rPr>
                <w:b/>
                <w:bCs/>
              </w:rPr>
            </w:pPr>
            <w:r>
              <w:rPr>
                <w:b/>
                <w:bCs/>
              </w:rPr>
              <w:t xml:space="preserve">Final </w:t>
            </w:r>
          </w:p>
        </w:tc>
      </w:tr>
    </w:tbl>
    <w:p w14:paraId="6198F9FF" w14:textId="77777777" w:rsidR="003306C8" w:rsidRPr="00D37D4C" w:rsidRDefault="003306C8" w:rsidP="00EC2966">
      <w:pPr>
        <w:jc w:val="both"/>
        <w:rPr>
          <w:szCs w:val="24"/>
        </w:rPr>
      </w:pPr>
    </w:p>
    <w:p w14:paraId="44BBA073" w14:textId="77777777" w:rsidR="00AF1C07" w:rsidRPr="00AF1C07" w:rsidRDefault="00AF1C07" w:rsidP="00EC2966">
      <w:pPr>
        <w:pStyle w:val="DeptBullets"/>
        <w:numPr>
          <w:ilvl w:val="0"/>
          <w:numId w:val="0"/>
        </w:numPr>
        <w:jc w:val="both"/>
      </w:pPr>
    </w:p>
    <w:sectPr w:rsidR="00AF1C07" w:rsidRPr="00AF1C07" w:rsidSect="004151D9">
      <w:footerReference w:type="default" r:id="rId10"/>
      <w:headerReference w:type="first" r:id="rId11"/>
      <w:footerReference w:type="first" r:id="rId12"/>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FCC1" w14:textId="77777777" w:rsidR="00540E48" w:rsidRDefault="00540E48">
      <w:r>
        <w:separator/>
      </w:r>
    </w:p>
  </w:endnote>
  <w:endnote w:type="continuationSeparator" w:id="0">
    <w:p w14:paraId="071F5C40" w14:textId="77777777" w:rsidR="00540E48" w:rsidRDefault="0054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8802" w14:textId="77777777" w:rsidR="00C62C6C" w:rsidRPr="00C62C6C" w:rsidRDefault="00463643" w:rsidP="00C62C6C">
    <w:pPr>
      <w:pStyle w:val="Footer"/>
      <w:jc w:val="right"/>
      <w:rPr>
        <w:b/>
        <w:color w:val="4F81BD" w:themeColor="accent1"/>
      </w:rPr>
    </w:pPr>
    <w:r w:rsidRPr="006E13C4">
      <w:rPr>
        <w:rStyle w:val="PageNumber"/>
      </w:rPr>
      <w:fldChar w:fldCharType="begin"/>
    </w:r>
    <w:r w:rsidRPr="006E13C4">
      <w:rPr>
        <w:rStyle w:val="PageNumber"/>
      </w:rPr>
      <w:instrText xml:space="preserve"> PAGE   \* MERGEFORMAT </w:instrText>
    </w:r>
    <w:r w:rsidRPr="006E13C4">
      <w:rPr>
        <w:rStyle w:val="PageNumber"/>
      </w:rPr>
      <w:fldChar w:fldCharType="separate"/>
    </w:r>
    <w:r>
      <w:rPr>
        <w:rStyle w:val="PageNumber"/>
        <w:noProof/>
      </w:rPr>
      <w:t>4</w:t>
    </w:r>
    <w:r w:rsidRPr="006E13C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62305"/>
      <w:docPartObj>
        <w:docPartGallery w:val="Page Numbers (Bottom of Page)"/>
        <w:docPartUnique/>
      </w:docPartObj>
    </w:sdtPr>
    <w:sdtEndPr>
      <w:rPr>
        <w:noProof/>
      </w:rPr>
    </w:sdtEndPr>
    <w:sdtContent>
      <w:p w14:paraId="3537A60F" w14:textId="77777777" w:rsidR="00B235A1" w:rsidRDefault="004636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EA6EB5" w14:textId="77777777" w:rsidR="006E13C4" w:rsidRPr="006E13C4" w:rsidRDefault="0021262A" w:rsidP="006E13C4">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58D7" w14:textId="77777777" w:rsidR="00540E48" w:rsidRDefault="00540E48">
      <w:r>
        <w:separator/>
      </w:r>
    </w:p>
  </w:footnote>
  <w:footnote w:type="continuationSeparator" w:id="0">
    <w:p w14:paraId="304FA83D" w14:textId="77777777" w:rsidR="00540E48" w:rsidRDefault="0054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B4A8" w14:textId="3EE4988D" w:rsidR="00FC232E" w:rsidRDefault="00463643" w:rsidP="008D3852">
    <w:pPr>
      <w:pStyle w:val="Header"/>
      <w:tabs>
        <w:tab w:val="clear" w:pos="4153"/>
        <w:tab w:val="clear" w:pos="8306"/>
        <w:tab w:val="left" w:pos="735"/>
        <w:tab w:val="left" w:pos="1800"/>
      </w:tabs>
    </w:pPr>
    <w:r>
      <w:rPr>
        <w:noProof/>
        <w:lang w:eastAsia="en-GB" w:bidi="ar-SA"/>
      </w:rPr>
      <w:drawing>
        <wp:anchor distT="0" distB="0" distL="114300" distR="114300" simplePos="0" relativeHeight="251657728" behindDoc="1" locked="1" layoutInCell="1" allowOverlap="1" wp14:anchorId="0FB4B1A5" wp14:editId="220FCC41">
          <wp:simplePos x="0" y="0"/>
          <wp:positionH relativeFrom="page">
            <wp:align>left</wp:align>
          </wp:positionH>
          <wp:positionV relativeFrom="page">
            <wp:posOffset>-347345</wp:posOffset>
          </wp:positionV>
          <wp:extent cx="3067050" cy="1155065"/>
          <wp:effectExtent l="0" t="0" r="0" b="0"/>
          <wp:wrapTopAndBottom/>
          <wp:docPr id="1" name="Picture 1" descr="Minutes" title="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614_DFE_IfA Identity_Agenda_final design_090217_RW3.png"/>
                  <pic:cNvPicPr/>
                </pic:nvPicPr>
                <pic:blipFill>
                  <a:blip r:embed="rId1">
                    <a:extLst>
                      <a:ext uri="{28A0092B-C50C-407E-A947-70E740481C1C}">
                        <a14:useLocalDpi xmlns:a14="http://schemas.microsoft.com/office/drawing/2010/main" val="0"/>
                      </a:ext>
                    </a:extLst>
                  </a:blip>
                  <a:stretch>
                    <a:fillRect/>
                  </a:stretch>
                </pic:blipFill>
                <pic:spPr>
                  <a:xfrm>
                    <a:off x="0" y="0"/>
                    <a:ext cx="3067050" cy="1155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788670" distL="114300" distR="114300" simplePos="0" relativeHeight="251656704" behindDoc="1" locked="1" layoutInCell="1" allowOverlap="1" wp14:anchorId="531B8DC3" wp14:editId="631A5BDD">
          <wp:simplePos x="0" y="0"/>
          <wp:positionH relativeFrom="page">
            <wp:posOffset>4147185</wp:posOffset>
          </wp:positionH>
          <wp:positionV relativeFrom="page">
            <wp:posOffset>87630</wp:posOffset>
          </wp:positionV>
          <wp:extent cx="3188970" cy="72009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614_DFE_IfA Identity_Agenda_final design_090217_RW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8970" cy="720090"/>
                  </a:xfrm>
                  <a:prstGeom prst="rect">
                    <a:avLst/>
                  </a:prstGeom>
                </pic:spPr>
              </pic:pic>
            </a:graphicData>
          </a:graphic>
          <wp14:sizeRelH relativeFrom="margin">
            <wp14:pctWidth>0</wp14:pctWidth>
          </wp14:sizeRelH>
          <wp14:sizeRelV relativeFrom="margin">
            <wp14:pctHeight>0</wp14:pctHeight>
          </wp14:sizeRelV>
        </wp:anchor>
      </w:drawing>
    </w:r>
    <w:r w:rsidR="00694AA0">
      <w:tab/>
    </w:r>
    <w:r w:rsidR="008D38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4A"/>
    <w:multiLevelType w:val="hybridMultilevel"/>
    <w:tmpl w:val="D46E21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25532F4"/>
    <w:multiLevelType w:val="hybridMultilevel"/>
    <w:tmpl w:val="D6B80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072CAD"/>
    <w:multiLevelType w:val="multilevel"/>
    <w:tmpl w:val="6EBE128A"/>
    <w:lvl w:ilvl="0">
      <w:start w:val="1"/>
      <w:numFmt w:val="decimal"/>
      <w:pStyle w:val="Attendees"/>
      <w:lvlText w:val="%1."/>
      <w:lvlJc w:val="left"/>
      <w:pPr>
        <w:tabs>
          <w:tab w:val="num" w:pos="567"/>
        </w:tabs>
        <w:ind w:left="567" w:hanging="567"/>
      </w:pPr>
      <w:rPr>
        <w:rFonts w:hint="default"/>
        <w:color w:val="4F81BD" w:themeColor="accent1"/>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C5281"/>
    <w:multiLevelType w:val="hybridMultilevel"/>
    <w:tmpl w:val="AEE62A7A"/>
    <w:lvl w:ilvl="0" w:tplc="3B52313A">
      <w:start w:val="1"/>
      <w:numFmt w:val="decimal"/>
      <w:lvlText w:val="%1."/>
      <w:lvlJc w:val="left"/>
      <w:pPr>
        <w:ind w:left="360" w:hanging="360"/>
      </w:pPr>
      <w:rPr>
        <w:rFonts w:hint="default"/>
        <w:b w:val="0"/>
        <w:i w:val="0"/>
      </w:rPr>
    </w:lvl>
    <w:lvl w:ilvl="1" w:tplc="08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21080198">
    <w:abstractNumId w:val="5"/>
  </w:num>
  <w:num w:numId="2" w16cid:durableId="79571614">
    <w:abstractNumId w:val="2"/>
  </w:num>
  <w:num w:numId="3" w16cid:durableId="1797137529">
    <w:abstractNumId w:val="10"/>
  </w:num>
  <w:num w:numId="4" w16cid:durableId="129369006">
    <w:abstractNumId w:val="1"/>
  </w:num>
  <w:num w:numId="5" w16cid:durableId="1734544193">
    <w:abstractNumId w:val="6"/>
  </w:num>
  <w:num w:numId="6" w16cid:durableId="2004232884">
    <w:abstractNumId w:val="9"/>
  </w:num>
  <w:num w:numId="7" w16cid:durableId="327707739">
    <w:abstractNumId w:val="7"/>
  </w:num>
  <w:num w:numId="8" w16cid:durableId="919486320">
    <w:abstractNumId w:val="4"/>
  </w:num>
  <w:num w:numId="9" w16cid:durableId="700401852">
    <w:abstractNumId w:val="8"/>
  </w:num>
  <w:num w:numId="10" w16cid:durableId="458883663">
    <w:abstractNumId w:val="3"/>
  </w:num>
  <w:num w:numId="11" w16cid:durableId="234703815">
    <w:abstractNumId w:val="0"/>
  </w:num>
  <w:num w:numId="12" w16cid:durableId="789786765">
    <w:abstractNumId w:val="5"/>
  </w:num>
  <w:num w:numId="13" w16cid:durableId="1453672531">
    <w:abstractNumId w:val="5"/>
  </w:num>
  <w:num w:numId="14" w16cid:durableId="75440888">
    <w:abstractNumId w:val="5"/>
  </w:num>
  <w:num w:numId="15" w16cid:durableId="1368602729">
    <w:abstractNumId w:val="5"/>
  </w:num>
  <w:num w:numId="16" w16cid:durableId="709570493">
    <w:abstractNumId w:val="5"/>
  </w:num>
  <w:num w:numId="17" w16cid:durableId="424113694">
    <w:abstractNumId w:val="5"/>
  </w:num>
  <w:num w:numId="18" w16cid:durableId="800341659">
    <w:abstractNumId w:val="5"/>
  </w:num>
  <w:num w:numId="19" w16cid:durableId="1664777031">
    <w:abstractNumId w:val="5"/>
  </w:num>
  <w:num w:numId="20" w16cid:durableId="168105401">
    <w:abstractNumId w:val="5"/>
  </w:num>
  <w:num w:numId="21" w16cid:durableId="1148403697">
    <w:abstractNumId w:val="5"/>
  </w:num>
  <w:num w:numId="22" w16cid:durableId="1771393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C8"/>
    <w:rsid w:val="00011F78"/>
    <w:rsid w:val="00017136"/>
    <w:rsid w:val="000172CE"/>
    <w:rsid w:val="00022DB6"/>
    <w:rsid w:val="00023AAF"/>
    <w:rsid w:val="0003004C"/>
    <w:rsid w:val="000330F8"/>
    <w:rsid w:val="00034F4C"/>
    <w:rsid w:val="00041864"/>
    <w:rsid w:val="00046A77"/>
    <w:rsid w:val="0004776A"/>
    <w:rsid w:val="00055235"/>
    <w:rsid w:val="00063CB3"/>
    <w:rsid w:val="00070F3F"/>
    <w:rsid w:val="00076DF8"/>
    <w:rsid w:val="0008003D"/>
    <w:rsid w:val="0008171A"/>
    <w:rsid w:val="000833EF"/>
    <w:rsid w:val="000A0C1B"/>
    <w:rsid w:val="000A6EB5"/>
    <w:rsid w:val="000A7EC4"/>
    <w:rsid w:val="000B1468"/>
    <w:rsid w:val="000B3937"/>
    <w:rsid w:val="000C78E1"/>
    <w:rsid w:val="000D63B0"/>
    <w:rsid w:val="000E6304"/>
    <w:rsid w:val="000F4E59"/>
    <w:rsid w:val="00107219"/>
    <w:rsid w:val="00116F59"/>
    <w:rsid w:val="001362FD"/>
    <w:rsid w:val="001366BB"/>
    <w:rsid w:val="001372F2"/>
    <w:rsid w:val="00152AE6"/>
    <w:rsid w:val="00153045"/>
    <w:rsid w:val="00153F85"/>
    <w:rsid w:val="00161122"/>
    <w:rsid w:val="00164C6D"/>
    <w:rsid w:val="001719CE"/>
    <w:rsid w:val="001769D5"/>
    <w:rsid w:val="00180A06"/>
    <w:rsid w:val="00180BF1"/>
    <w:rsid w:val="00182783"/>
    <w:rsid w:val="00195F8E"/>
    <w:rsid w:val="001A4EBB"/>
    <w:rsid w:val="001A5433"/>
    <w:rsid w:val="001A54FA"/>
    <w:rsid w:val="001A7B56"/>
    <w:rsid w:val="001B05C8"/>
    <w:rsid w:val="001B6DF9"/>
    <w:rsid w:val="001C5D84"/>
    <w:rsid w:val="001D55BC"/>
    <w:rsid w:val="001D7FB3"/>
    <w:rsid w:val="001E525C"/>
    <w:rsid w:val="002009C2"/>
    <w:rsid w:val="0021154C"/>
    <w:rsid w:val="00211C37"/>
    <w:rsid w:val="0021262A"/>
    <w:rsid w:val="00212D24"/>
    <w:rsid w:val="00217581"/>
    <w:rsid w:val="00230CAB"/>
    <w:rsid w:val="002335B0"/>
    <w:rsid w:val="002338A1"/>
    <w:rsid w:val="00244520"/>
    <w:rsid w:val="00255D55"/>
    <w:rsid w:val="00255DBE"/>
    <w:rsid w:val="0026238A"/>
    <w:rsid w:val="00262BB3"/>
    <w:rsid w:val="002637E8"/>
    <w:rsid w:val="00266064"/>
    <w:rsid w:val="00274669"/>
    <w:rsid w:val="0027611C"/>
    <w:rsid w:val="002840D0"/>
    <w:rsid w:val="00284BFE"/>
    <w:rsid w:val="00293B8F"/>
    <w:rsid w:val="00295635"/>
    <w:rsid w:val="00295EFC"/>
    <w:rsid w:val="002B651E"/>
    <w:rsid w:val="002C155E"/>
    <w:rsid w:val="002C2E1D"/>
    <w:rsid w:val="002C4497"/>
    <w:rsid w:val="002D0764"/>
    <w:rsid w:val="002D2A7A"/>
    <w:rsid w:val="002E28FA"/>
    <w:rsid w:val="002E5286"/>
    <w:rsid w:val="002E5D78"/>
    <w:rsid w:val="002F6041"/>
    <w:rsid w:val="00305A09"/>
    <w:rsid w:val="00310708"/>
    <w:rsid w:val="00312BD3"/>
    <w:rsid w:val="00325731"/>
    <w:rsid w:val="003306C8"/>
    <w:rsid w:val="00347A3B"/>
    <w:rsid w:val="00354299"/>
    <w:rsid w:val="003645E6"/>
    <w:rsid w:val="00367EEB"/>
    <w:rsid w:val="00370895"/>
    <w:rsid w:val="00373C4C"/>
    <w:rsid w:val="0038021D"/>
    <w:rsid w:val="00392AE9"/>
    <w:rsid w:val="003971FD"/>
    <w:rsid w:val="003A6490"/>
    <w:rsid w:val="003A75F7"/>
    <w:rsid w:val="003B78F9"/>
    <w:rsid w:val="003C1950"/>
    <w:rsid w:val="003D6ECF"/>
    <w:rsid w:val="003D74A2"/>
    <w:rsid w:val="003D7A13"/>
    <w:rsid w:val="003E1B86"/>
    <w:rsid w:val="003E6150"/>
    <w:rsid w:val="003F16E2"/>
    <w:rsid w:val="003F1833"/>
    <w:rsid w:val="00402829"/>
    <w:rsid w:val="00430DC5"/>
    <w:rsid w:val="004315F8"/>
    <w:rsid w:val="004353EC"/>
    <w:rsid w:val="00437870"/>
    <w:rsid w:val="00446D88"/>
    <w:rsid w:val="00450D89"/>
    <w:rsid w:val="004533A7"/>
    <w:rsid w:val="00460505"/>
    <w:rsid w:val="0046127D"/>
    <w:rsid w:val="00461C7D"/>
    <w:rsid w:val="004623E6"/>
    <w:rsid w:val="00463122"/>
    <w:rsid w:val="00463643"/>
    <w:rsid w:val="00464570"/>
    <w:rsid w:val="0046606A"/>
    <w:rsid w:val="00471D3D"/>
    <w:rsid w:val="004750D6"/>
    <w:rsid w:val="00480E77"/>
    <w:rsid w:val="004837BB"/>
    <w:rsid w:val="00483997"/>
    <w:rsid w:val="00484C39"/>
    <w:rsid w:val="004955D9"/>
    <w:rsid w:val="004B4F14"/>
    <w:rsid w:val="004D0589"/>
    <w:rsid w:val="004E21B5"/>
    <w:rsid w:val="004E633C"/>
    <w:rsid w:val="00503BFC"/>
    <w:rsid w:val="00511CA5"/>
    <w:rsid w:val="005150CE"/>
    <w:rsid w:val="00525106"/>
    <w:rsid w:val="00530814"/>
    <w:rsid w:val="00540E48"/>
    <w:rsid w:val="005442F8"/>
    <w:rsid w:val="00544CD1"/>
    <w:rsid w:val="00545301"/>
    <w:rsid w:val="0055238F"/>
    <w:rsid w:val="00563B29"/>
    <w:rsid w:val="00565333"/>
    <w:rsid w:val="00572931"/>
    <w:rsid w:val="00591B39"/>
    <w:rsid w:val="005957DA"/>
    <w:rsid w:val="005A385B"/>
    <w:rsid w:val="005A3E61"/>
    <w:rsid w:val="005B1CC3"/>
    <w:rsid w:val="005B5A07"/>
    <w:rsid w:val="005B67C5"/>
    <w:rsid w:val="005C1372"/>
    <w:rsid w:val="005D506A"/>
    <w:rsid w:val="005D59A0"/>
    <w:rsid w:val="005D60DC"/>
    <w:rsid w:val="005E74FB"/>
    <w:rsid w:val="00607A4B"/>
    <w:rsid w:val="0062704E"/>
    <w:rsid w:val="00634682"/>
    <w:rsid w:val="0063507E"/>
    <w:rsid w:val="006363E9"/>
    <w:rsid w:val="00637D64"/>
    <w:rsid w:val="0064037F"/>
    <w:rsid w:val="00640E71"/>
    <w:rsid w:val="0065568A"/>
    <w:rsid w:val="006819F4"/>
    <w:rsid w:val="00681F0E"/>
    <w:rsid w:val="006858D6"/>
    <w:rsid w:val="00687908"/>
    <w:rsid w:val="00691CB7"/>
    <w:rsid w:val="00694AA0"/>
    <w:rsid w:val="006960F6"/>
    <w:rsid w:val="006A0189"/>
    <w:rsid w:val="006A0DC5"/>
    <w:rsid w:val="006A1127"/>
    <w:rsid w:val="006A2F72"/>
    <w:rsid w:val="006A3278"/>
    <w:rsid w:val="006D27BA"/>
    <w:rsid w:val="006D3EBD"/>
    <w:rsid w:val="006E06EA"/>
    <w:rsid w:val="006E6F0B"/>
    <w:rsid w:val="006F115C"/>
    <w:rsid w:val="007104E4"/>
    <w:rsid w:val="00712653"/>
    <w:rsid w:val="0072799F"/>
    <w:rsid w:val="007442BB"/>
    <w:rsid w:val="007463C5"/>
    <w:rsid w:val="00746846"/>
    <w:rsid w:val="007510C3"/>
    <w:rsid w:val="00754450"/>
    <w:rsid w:val="0075559B"/>
    <w:rsid w:val="0076458E"/>
    <w:rsid w:val="00767063"/>
    <w:rsid w:val="00786840"/>
    <w:rsid w:val="007940AE"/>
    <w:rsid w:val="007A10F9"/>
    <w:rsid w:val="007A4C02"/>
    <w:rsid w:val="007B2A77"/>
    <w:rsid w:val="007B49CD"/>
    <w:rsid w:val="007B593B"/>
    <w:rsid w:val="007B5A46"/>
    <w:rsid w:val="007C1BC2"/>
    <w:rsid w:val="007C2966"/>
    <w:rsid w:val="007D0DBA"/>
    <w:rsid w:val="007D4DB0"/>
    <w:rsid w:val="007D6342"/>
    <w:rsid w:val="007E1D14"/>
    <w:rsid w:val="007F073B"/>
    <w:rsid w:val="00805C72"/>
    <w:rsid w:val="00831225"/>
    <w:rsid w:val="00833D8F"/>
    <w:rsid w:val="00836ED5"/>
    <w:rsid w:val="008425F7"/>
    <w:rsid w:val="008428AB"/>
    <w:rsid w:val="008601DC"/>
    <w:rsid w:val="00863664"/>
    <w:rsid w:val="0088151C"/>
    <w:rsid w:val="008817AB"/>
    <w:rsid w:val="008843A4"/>
    <w:rsid w:val="00891226"/>
    <w:rsid w:val="008A303F"/>
    <w:rsid w:val="008B1C49"/>
    <w:rsid w:val="008B2ADD"/>
    <w:rsid w:val="008B67CC"/>
    <w:rsid w:val="008C1A23"/>
    <w:rsid w:val="008C3562"/>
    <w:rsid w:val="008C3A96"/>
    <w:rsid w:val="008C7906"/>
    <w:rsid w:val="008D1228"/>
    <w:rsid w:val="008D3852"/>
    <w:rsid w:val="008E2A3E"/>
    <w:rsid w:val="008E2E4A"/>
    <w:rsid w:val="008E3BDA"/>
    <w:rsid w:val="008E520A"/>
    <w:rsid w:val="008F452F"/>
    <w:rsid w:val="008F5392"/>
    <w:rsid w:val="008F7C5A"/>
    <w:rsid w:val="00905ADC"/>
    <w:rsid w:val="00906C33"/>
    <w:rsid w:val="00907116"/>
    <w:rsid w:val="00913C9B"/>
    <w:rsid w:val="009173AF"/>
    <w:rsid w:val="00917BE5"/>
    <w:rsid w:val="00922971"/>
    <w:rsid w:val="00932946"/>
    <w:rsid w:val="009344CD"/>
    <w:rsid w:val="00936E14"/>
    <w:rsid w:val="009424FA"/>
    <w:rsid w:val="009426CB"/>
    <w:rsid w:val="00951581"/>
    <w:rsid w:val="00963073"/>
    <w:rsid w:val="0096789C"/>
    <w:rsid w:val="0097315A"/>
    <w:rsid w:val="00973ED4"/>
    <w:rsid w:val="00985177"/>
    <w:rsid w:val="00987783"/>
    <w:rsid w:val="009A3F0A"/>
    <w:rsid w:val="009B3EFE"/>
    <w:rsid w:val="009B493A"/>
    <w:rsid w:val="009C1166"/>
    <w:rsid w:val="009C1808"/>
    <w:rsid w:val="009C35E7"/>
    <w:rsid w:val="009D0B4A"/>
    <w:rsid w:val="009D1C44"/>
    <w:rsid w:val="009D3D73"/>
    <w:rsid w:val="009E1711"/>
    <w:rsid w:val="009E73AD"/>
    <w:rsid w:val="009F2119"/>
    <w:rsid w:val="009F5357"/>
    <w:rsid w:val="009F7653"/>
    <w:rsid w:val="00A00569"/>
    <w:rsid w:val="00A06C88"/>
    <w:rsid w:val="00A159E6"/>
    <w:rsid w:val="00A21E85"/>
    <w:rsid w:val="00A2712A"/>
    <w:rsid w:val="00A3306B"/>
    <w:rsid w:val="00A36044"/>
    <w:rsid w:val="00A366A9"/>
    <w:rsid w:val="00A46912"/>
    <w:rsid w:val="00A5523E"/>
    <w:rsid w:val="00A56D5E"/>
    <w:rsid w:val="00A64099"/>
    <w:rsid w:val="00A87CB5"/>
    <w:rsid w:val="00A96425"/>
    <w:rsid w:val="00AB58BB"/>
    <w:rsid w:val="00AB6016"/>
    <w:rsid w:val="00AC2A37"/>
    <w:rsid w:val="00AC6B50"/>
    <w:rsid w:val="00AD0E50"/>
    <w:rsid w:val="00AD5200"/>
    <w:rsid w:val="00AD632D"/>
    <w:rsid w:val="00AE773B"/>
    <w:rsid w:val="00AE7BE9"/>
    <w:rsid w:val="00AF0554"/>
    <w:rsid w:val="00AF1C07"/>
    <w:rsid w:val="00AF737F"/>
    <w:rsid w:val="00B006DF"/>
    <w:rsid w:val="00B05ECD"/>
    <w:rsid w:val="00B06172"/>
    <w:rsid w:val="00B07FD1"/>
    <w:rsid w:val="00B15542"/>
    <w:rsid w:val="00B16A24"/>
    <w:rsid w:val="00B16A8C"/>
    <w:rsid w:val="00B275C1"/>
    <w:rsid w:val="00B420CC"/>
    <w:rsid w:val="00B44F4C"/>
    <w:rsid w:val="00B44FDD"/>
    <w:rsid w:val="00B56539"/>
    <w:rsid w:val="00B621A3"/>
    <w:rsid w:val="00B6522B"/>
    <w:rsid w:val="00B65709"/>
    <w:rsid w:val="00B67DF2"/>
    <w:rsid w:val="00B82817"/>
    <w:rsid w:val="00B83FF6"/>
    <w:rsid w:val="00B85BF7"/>
    <w:rsid w:val="00B903F5"/>
    <w:rsid w:val="00B939CC"/>
    <w:rsid w:val="00BA0B14"/>
    <w:rsid w:val="00BA1D0E"/>
    <w:rsid w:val="00BB4669"/>
    <w:rsid w:val="00BC1E65"/>
    <w:rsid w:val="00BC547B"/>
    <w:rsid w:val="00BD4B6C"/>
    <w:rsid w:val="00BE3C71"/>
    <w:rsid w:val="00BF4BEB"/>
    <w:rsid w:val="00C03E86"/>
    <w:rsid w:val="00C149AC"/>
    <w:rsid w:val="00C24414"/>
    <w:rsid w:val="00C26341"/>
    <w:rsid w:val="00C37933"/>
    <w:rsid w:val="00C408C7"/>
    <w:rsid w:val="00C47EEA"/>
    <w:rsid w:val="00C519D0"/>
    <w:rsid w:val="00C54380"/>
    <w:rsid w:val="00C544E0"/>
    <w:rsid w:val="00C56841"/>
    <w:rsid w:val="00C70ACB"/>
    <w:rsid w:val="00C9702A"/>
    <w:rsid w:val="00CA0019"/>
    <w:rsid w:val="00CA4FEC"/>
    <w:rsid w:val="00CB09D9"/>
    <w:rsid w:val="00CB2FC3"/>
    <w:rsid w:val="00CD7921"/>
    <w:rsid w:val="00CE0045"/>
    <w:rsid w:val="00CE084B"/>
    <w:rsid w:val="00CF0A12"/>
    <w:rsid w:val="00CF68FF"/>
    <w:rsid w:val="00D02D57"/>
    <w:rsid w:val="00D06E65"/>
    <w:rsid w:val="00D118D6"/>
    <w:rsid w:val="00D16991"/>
    <w:rsid w:val="00D20266"/>
    <w:rsid w:val="00D20C29"/>
    <w:rsid w:val="00D27AA7"/>
    <w:rsid w:val="00D310E1"/>
    <w:rsid w:val="00D322E6"/>
    <w:rsid w:val="00D33842"/>
    <w:rsid w:val="00D47915"/>
    <w:rsid w:val="00D52396"/>
    <w:rsid w:val="00D5296B"/>
    <w:rsid w:val="00D57D6E"/>
    <w:rsid w:val="00D61F5A"/>
    <w:rsid w:val="00D656C2"/>
    <w:rsid w:val="00DA156C"/>
    <w:rsid w:val="00DA1A4C"/>
    <w:rsid w:val="00DB4C12"/>
    <w:rsid w:val="00DC2B89"/>
    <w:rsid w:val="00DC416F"/>
    <w:rsid w:val="00DD05FC"/>
    <w:rsid w:val="00DD620F"/>
    <w:rsid w:val="00DD7696"/>
    <w:rsid w:val="00DE1BF4"/>
    <w:rsid w:val="00DE394C"/>
    <w:rsid w:val="00E0081E"/>
    <w:rsid w:val="00E02094"/>
    <w:rsid w:val="00E05C99"/>
    <w:rsid w:val="00E10F4C"/>
    <w:rsid w:val="00E240A9"/>
    <w:rsid w:val="00E2419F"/>
    <w:rsid w:val="00E366D6"/>
    <w:rsid w:val="00E36DFB"/>
    <w:rsid w:val="00E60D2A"/>
    <w:rsid w:val="00E615A6"/>
    <w:rsid w:val="00E63D8B"/>
    <w:rsid w:val="00E6456B"/>
    <w:rsid w:val="00E650F6"/>
    <w:rsid w:val="00E707ED"/>
    <w:rsid w:val="00E81F4B"/>
    <w:rsid w:val="00E83563"/>
    <w:rsid w:val="00E9028A"/>
    <w:rsid w:val="00E90F7D"/>
    <w:rsid w:val="00EA11BE"/>
    <w:rsid w:val="00EC2966"/>
    <w:rsid w:val="00EC644A"/>
    <w:rsid w:val="00EC6A3F"/>
    <w:rsid w:val="00F00077"/>
    <w:rsid w:val="00F060D6"/>
    <w:rsid w:val="00F1165B"/>
    <w:rsid w:val="00F14D35"/>
    <w:rsid w:val="00F22ECE"/>
    <w:rsid w:val="00F30554"/>
    <w:rsid w:val="00F348D2"/>
    <w:rsid w:val="00F36214"/>
    <w:rsid w:val="00F4485F"/>
    <w:rsid w:val="00F44B6A"/>
    <w:rsid w:val="00F50DD1"/>
    <w:rsid w:val="00F521C7"/>
    <w:rsid w:val="00F60BF8"/>
    <w:rsid w:val="00F64863"/>
    <w:rsid w:val="00F70C1B"/>
    <w:rsid w:val="00F70CB7"/>
    <w:rsid w:val="00F73FD3"/>
    <w:rsid w:val="00F82992"/>
    <w:rsid w:val="00F835DD"/>
    <w:rsid w:val="00F949D2"/>
    <w:rsid w:val="00F960C1"/>
    <w:rsid w:val="00FA0331"/>
    <w:rsid w:val="00FA6142"/>
    <w:rsid w:val="00FC049C"/>
    <w:rsid w:val="00FC1C0E"/>
    <w:rsid w:val="00FC5ED8"/>
    <w:rsid w:val="00FF53CE"/>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E51CC"/>
  <w15:chartTrackingRefBased/>
  <w15:docId w15:val="{CFAC4BDE-7EDD-4406-ACC6-E9F28079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6C8"/>
    <w:pPr>
      <w:spacing w:before="24" w:after="24"/>
    </w:pPr>
    <w:rPr>
      <w:rFonts w:ascii="Arial" w:eastAsiaTheme="minorHAnsi" w:hAnsi="Arial" w:cs="Arial"/>
      <w:color w:val="000000" w:themeColor="text1"/>
      <w:sz w:val="24"/>
      <w:szCs w:val="22"/>
      <w:lang w:eastAsia="en-US" w:bidi="he-IL"/>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uiPriority w:val="99"/>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sz w:val="22"/>
    </w:rPr>
  </w:style>
  <w:style w:type="paragraph" w:customStyle="1" w:styleId="DfESBullets">
    <w:name w:val="DfESBullets"/>
    <w:basedOn w:val="Normal"/>
    <w:rsid w:val="00AF1C07"/>
    <w:pPr>
      <w:numPr>
        <w:numId w:val="5"/>
      </w:numPr>
      <w:spacing w:after="240"/>
    </w:pPr>
    <w:rPr>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customStyle="1" w:styleId="HeaderChar">
    <w:name w:val="Header Char"/>
    <w:basedOn w:val="DefaultParagraphFont"/>
    <w:link w:val="Header"/>
    <w:uiPriority w:val="99"/>
    <w:rsid w:val="003306C8"/>
    <w:rPr>
      <w:rFonts w:ascii="Arial" w:hAnsi="Arial"/>
      <w:sz w:val="24"/>
      <w:lang w:eastAsia="en-US"/>
    </w:rPr>
  </w:style>
  <w:style w:type="character" w:customStyle="1" w:styleId="FooterChar">
    <w:name w:val="Footer Char"/>
    <w:basedOn w:val="DefaultParagraphFont"/>
    <w:link w:val="Footer"/>
    <w:uiPriority w:val="99"/>
    <w:rsid w:val="003306C8"/>
    <w:rPr>
      <w:rFonts w:ascii="Arial" w:hAnsi="Arial"/>
      <w:sz w:val="24"/>
      <w:lang w:eastAsia="en-US"/>
    </w:rPr>
  </w:style>
  <w:style w:type="table" w:styleId="TableGrid">
    <w:name w:val="Table Grid"/>
    <w:basedOn w:val="TableNormal"/>
    <w:uiPriority w:val="39"/>
    <w:rsid w:val="003306C8"/>
    <w:rPr>
      <w:rFonts w:ascii="Arial" w:eastAsiaTheme="minorHAnsi" w:hAnsi="Arial"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3306C8"/>
    <w:rPr>
      <w:color w:val="auto"/>
      <w:sz w:val="8"/>
    </w:rPr>
  </w:style>
  <w:style w:type="paragraph" w:styleId="Title">
    <w:name w:val="Title"/>
    <w:basedOn w:val="Normal"/>
    <w:next w:val="Normal"/>
    <w:link w:val="TitleChar"/>
    <w:uiPriority w:val="10"/>
    <w:qFormat/>
    <w:rsid w:val="003306C8"/>
    <w:pPr>
      <w:keepNext/>
    </w:pPr>
    <w:rPr>
      <w:b/>
      <w:caps/>
    </w:rPr>
  </w:style>
  <w:style w:type="character" w:customStyle="1" w:styleId="TitleChar">
    <w:name w:val="Title Char"/>
    <w:basedOn w:val="DefaultParagraphFont"/>
    <w:link w:val="Title"/>
    <w:uiPriority w:val="10"/>
    <w:rsid w:val="003306C8"/>
    <w:rPr>
      <w:rFonts w:ascii="Arial" w:eastAsiaTheme="minorHAnsi" w:hAnsi="Arial" w:cs="Arial"/>
      <w:b/>
      <w:caps/>
      <w:color w:val="000000" w:themeColor="text1"/>
      <w:sz w:val="24"/>
      <w:szCs w:val="22"/>
      <w:lang w:eastAsia="en-US" w:bidi="he-IL"/>
    </w:rPr>
  </w:style>
  <w:style w:type="paragraph" w:customStyle="1" w:styleId="Attendees">
    <w:name w:val="Attendees"/>
    <w:basedOn w:val="Normal"/>
    <w:qFormat/>
    <w:rsid w:val="003306C8"/>
    <w:pPr>
      <w:numPr>
        <w:numId w:val="8"/>
      </w:numPr>
    </w:pPr>
    <w:rPr>
      <w:color w:val="4F81BD" w:themeColor="accent1"/>
    </w:rPr>
  </w:style>
  <w:style w:type="character" w:customStyle="1" w:styleId="DeptBulletsChar">
    <w:name w:val="DeptBullets Char"/>
    <w:basedOn w:val="TitleChar"/>
    <w:link w:val="DeptBullets"/>
    <w:rsid w:val="003306C8"/>
    <w:rPr>
      <w:rFonts w:ascii="Arial" w:eastAsiaTheme="minorHAnsi" w:hAnsi="Arial" w:cs="Arial"/>
      <w:b w:val="0"/>
      <w:caps w:val="0"/>
      <w:color w:val="000000" w:themeColor="text1"/>
      <w:sz w:val="24"/>
      <w:szCs w:val="22"/>
      <w:lang w:eastAsia="en-US" w:bidi="he-IL"/>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306C8"/>
    <w:rPr>
      <w:rFonts w:ascii="Arial" w:hAnsi="Arial"/>
      <w:sz w:val="24"/>
      <w:lang w:eastAsia="en-US"/>
    </w:rPr>
  </w:style>
  <w:style w:type="paragraph" w:styleId="Revision">
    <w:name w:val="Revision"/>
    <w:hidden/>
    <w:uiPriority w:val="99"/>
    <w:semiHidden/>
    <w:rsid w:val="00891226"/>
    <w:rPr>
      <w:rFonts w:ascii="Arial" w:eastAsiaTheme="minorHAnsi" w:hAnsi="Arial" w:cs="Arial"/>
      <w:color w:val="000000" w:themeColor="text1"/>
      <w:sz w:val="24"/>
      <w:szCs w:val="22"/>
      <w:lang w:eastAsia="en-US" w:bidi="he-IL"/>
    </w:rPr>
  </w:style>
  <w:style w:type="character" w:styleId="CommentReference">
    <w:name w:val="annotation reference"/>
    <w:basedOn w:val="DefaultParagraphFont"/>
    <w:semiHidden/>
    <w:unhideWhenUsed/>
    <w:rsid w:val="0026238A"/>
    <w:rPr>
      <w:sz w:val="16"/>
      <w:szCs w:val="16"/>
    </w:rPr>
  </w:style>
  <w:style w:type="paragraph" w:styleId="CommentText">
    <w:name w:val="annotation text"/>
    <w:basedOn w:val="Normal"/>
    <w:link w:val="CommentTextChar"/>
    <w:unhideWhenUsed/>
    <w:rsid w:val="0026238A"/>
    <w:rPr>
      <w:sz w:val="20"/>
      <w:szCs w:val="20"/>
    </w:rPr>
  </w:style>
  <w:style w:type="character" w:customStyle="1" w:styleId="CommentTextChar">
    <w:name w:val="Comment Text Char"/>
    <w:basedOn w:val="DefaultParagraphFont"/>
    <w:link w:val="CommentText"/>
    <w:rsid w:val="0026238A"/>
    <w:rPr>
      <w:rFonts w:ascii="Arial" w:eastAsiaTheme="minorHAnsi" w:hAnsi="Arial" w:cs="Arial"/>
      <w:color w:val="000000" w:themeColor="text1"/>
      <w:lang w:eastAsia="en-US" w:bidi="he-IL"/>
    </w:rPr>
  </w:style>
  <w:style w:type="paragraph" w:styleId="CommentSubject">
    <w:name w:val="annotation subject"/>
    <w:basedOn w:val="CommentText"/>
    <w:next w:val="CommentText"/>
    <w:link w:val="CommentSubjectChar"/>
    <w:semiHidden/>
    <w:unhideWhenUsed/>
    <w:rsid w:val="0026238A"/>
    <w:rPr>
      <w:b/>
      <w:bCs/>
    </w:rPr>
  </w:style>
  <w:style w:type="character" w:customStyle="1" w:styleId="CommentSubjectChar">
    <w:name w:val="Comment Subject Char"/>
    <w:basedOn w:val="CommentTextChar"/>
    <w:link w:val="CommentSubject"/>
    <w:semiHidden/>
    <w:rsid w:val="0026238A"/>
    <w:rPr>
      <w:rFonts w:ascii="Arial" w:eastAsiaTheme="minorHAnsi" w:hAnsi="Arial" w:cs="Arial"/>
      <w:b/>
      <w:bCs/>
      <w:color w:val="000000" w:themeColor="text1"/>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243EB4BADE94A9E724B72E15BA39A" ma:contentTypeVersion="6" ma:contentTypeDescription="Create a new document." ma:contentTypeScope="" ma:versionID="4cd96b76cd05b896c87c8b6f0f8919d9">
  <xsd:schema xmlns:xsd="http://www.w3.org/2001/XMLSchema" xmlns:xs="http://www.w3.org/2001/XMLSchema" xmlns:p="http://schemas.microsoft.com/office/2006/metadata/properties" xmlns:ns2="8680373d-af6a-412b-a539-19194ff6ae9d" xmlns:ns3="c5c30f8a-a53d-443f-83f5-fcc0696a9fb3" targetNamespace="http://schemas.microsoft.com/office/2006/metadata/properties" ma:root="true" ma:fieldsID="0fe31a28002034a94fdda984a526f168" ns2:_="" ns3:_="">
    <xsd:import namespace="8680373d-af6a-412b-a539-19194ff6ae9d"/>
    <xsd:import namespace="c5c30f8a-a53d-443f-83f5-fcc0696a9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373d-af6a-412b-a539-19194ff6a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30f8a-a53d-443f-83f5-fcc0696a9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A7444-36B2-461B-A02C-72860E6CA8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813BD-0AAD-4C13-840F-2A5B95ADD045}">
  <ds:schemaRefs>
    <ds:schemaRef ds:uri="http://schemas.microsoft.com/sharepoint/v3/contenttype/forms"/>
  </ds:schemaRefs>
</ds:datastoreItem>
</file>

<file path=customXml/itemProps3.xml><?xml version="1.0" encoding="utf-8"?>
<ds:datastoreItem xmlns:ds="http://schemas.openxmlformats.org/officeDocument/2006/customXml" ds:itemID="{20C6BA3A-97B8-460B-8775-D95704CA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373d-af6a-412b-a539-19194ff6ae9d"/>
    <ds:schemaRef ds:uri="c5c30f8a-a53d-443f-83f5-fcc0696a9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6904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MULLINGS, Lorraine</dc:creator>
  <cp:keywords/>
  <dc:description/>
  <cp:lastModifiedBy>ALI, Mohammed</cp:lastModifiedBy>
  <cp:revision>2</cp:revision>
  <dcterms:created xsi:type="dcterms:W3CDTF">2022-08-30T10:01:00Z</dcterms:created>
  <dcterms:modified xsi:type="dcterms:W3CDTF">2022-08-30T10:01:00Z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0x01010084D243EB4BADE94A9E724B72E15BA39A</vt:lpwstr>
  </property>
</Properties>
</file>